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E9CD4E">
      <w:pPr>
        <w:jc w:val="left"/>
        <w:rPr>
          <w:rFonts w:hint="eastAsia" w:asciiTheme="majorEastAsia" w:hAnsiTheme="majorEastAsia" w:eastAsiaTheme="majorEastAsia" w:cstheme="majorEastAsia"/>
        </w:rPr>
      </w:pPr>
      <w:r>
        <w:rPr>
          <w:rFonts w:hint="eastAsia" w:asciiTheme="majorEastAsia" w:hAnsiTheme="majorEastAsia" w:eastAsiaTheme="majorEastAsia" w:cstheme="majorEastAsia"/>
        </w:rPr>
        <w:t>附件：</w:t>
      </w:r>
    </w:p>
    <w:p w14:paraId="6BE2B862">
      <w:pPr>
        <w:autoSpaceDE w:val="0"/>
        <w:autoSpaceDN w:val="0"/>
        <w:adjustRightInd w:val="0"/>
        <w:spacing w:line="560" w:lineRule="exact"/>
        <w:jc w:val="center"/>
        <w:rPr>
          <w:rFonts w:hint="eastAsia" w:ascii="黑体" w:hAnsi="黑体" w:eastAsia="黑体" w:cs="黑体"/>
          <w:kern w:val="0"/>
          <w:sz w:val="44"/>
          <w:szCs w:val="28"/>
        </w:rPr>
      </w:pPr>
      <w:r>
        <w:rPr>
          <w:rFonts w:hint="eastAsia" w:ascii="黑体" w:hAnsi="黑体" w:eastAsia="黑体" w:cs="黑体"/>
          <w:kern w:val="0"/>
          <w:sz w:val="44"/>
          <w:szCs w:val="28"/>
        </w:rPr>
        <w:t>直接指定采购公告</w:t>
      </w:r>
    </w:p>
    <w:tbl>
      <w:tblPr>
        <w:tblStyle w:val="6"/>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0"/>
        <w:gridCol w:w="6559"/>
      </w:tblGrid>
      <w:tr w14:paraId="27364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60" w:type="dxa"/>
            <w:vAlign w:val="center"/>
          </w:tcPr>
          <w:p w14:paraId="6604F76C">
            <w:pPr>
              <w:autoSpaceDE w:val="0"/>
              <w:autoSpaceDN w:val="0"/>
              <w:adjustRightInd w:val="0"/>
              <w:jc w:val="center"/>
              <w:rPr>
                <w:rFonts w:hint="eastAsia" w:ascii="仿宋_GB2312" w:hAnsi="宋体" w:cs="仿宋_GB2312"/>
                <w:kern w:val="0"/>
                <w:sz w:val="28"/>
              </w:rPr>
            </w:pPr>
            <w:r>
              <w:rPr>
                <w:rFonts w:hint="eastAsia" w:ascii="仿宋_GB2312" w:hAnsi="宋体" w:cs="仿宋_GB2312"/>
                <w:kern w:val="0"/>
                <w:sz w:val="28"/>
              </w:rPr>
              <w:t>项目名称</w:t>
            </w:r>
          </w:p>
        </w:tc>
        <w:tc>
          <w:tcPr>
            <w:tcW w:w="6559" w:type="dxa"/>
            <w:vAlign w:val="center"/>
          </w:tcPr>
          <w:p w14:paraId="3A6249DF">
            <w:pPr>
              <w:keepNext w:val="0"/>
              <w:keepLines w:val="0"/>
              <w:widowControl/>
              <w:suppressLineNumbers w:val="0"/>
              <w:shd w:val="clear" w:fill="FFFFFF"/>
              <w:spacing w:after="98" w:afterAutospacing="0"/>
              <w:ind w:left="0" w:firstLine="0"/>
              <w:jc w:val="left"/>
              <w:rPr>
                <w:rFonts w:hint="eastAsia" w:ascii="仿宋_GB2312" w:hAnsi="宋体" w:cs="仿宋_GB2312"/>
                <w:kern w:val="0"/>
                <w:sz w:val="28"/>
              </w:rPr>
            </w:pPr>
            <w:r>
              <w:rPr>
                <w:rFonts w:hint="eastAsia" w:ascii="仿宋_GB2312" w:hAnsi="宋体" w:cs="仿宋_GB2312"/>
                <w:kern w:val="0"/>
                <w:sz w:val="28"/>
                <w:lang w:val="en-US" w:eastAsia="zh-CN"/>
              </w:rPr>
              <w:t>信号激励与分析设备</w:t>
            </w:r>
          </w:p>
        </w:tc>
      </w:tr>
      <w:tr w14:paraId="32741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jc w:val="center"/>
        </w:trPr>
        <w:tc>
          <w:tcPr>
            <w:tcW w:w="1960" w:type="dxa"/>
            <w:vAlign w:val="center"/>
          </w:tcPr>
          <w:p w14:paraId="4FC72B1F">
            <w:pPr>
              <w:autoSpaceDE w:val="0"/>
              <w:autoSpaceDN w:val="0"/>
              <w:adjustRightInd w:val="0"/>
              <w:jc w:val="center"/>
              <w:rPr>
                <w:rFonts w:hint="eastAsia" w:ascii="仿宋_GB2312" w:hAnsi="宋体" w:cs="仿宋_GB2312"/>
                <w:kern w:val="0"/>
                <w:sz w:val="28"/>
              </w:rPr>
            </w:pPr>
            <w:r>
              <w:rPr>
                <w:rFonts w:hint="eastAsia" w:ascii="仿宋_GB2312" w:hAnsi="宋体" w:cs="仿宋_GB2312"/>
                <w:kern w:val="0"/>
                <w:sz w:val="28"/>
              </w:rPr>
              <w:t>供应商名称</w:t>
            </w:r>
          </w:p>
        </w:tc>
        <w:tc>
          <w:tcPr>
            <w:tcW w:w="6559" w:type="dxa"/>
            <w:vAlign w:val="center"/>
          </w:tcPr>
          <w:p w14:paraId="6E2FBCE6">
            <w:pPr>
              <w:autoSpaceDE w:val="0"/>
              <w:autoSpaceDN w:val="0"/>
              <w:adjustRightInd w:val="0"/>
              <w:jc w:val="left"/>
              <w:rPr>
                <w:rFonts w:hint="eastAsia" w:ascii="仿宋_GB2312" w:hAnsi="宋体" w:cs="仿宋_GB2312"/>
                <w:kern w:val="0"/>
                <w:sz w:val="28"/>
              </w:rPr>
            </w:pPr>
            <w:r>
              <w:rPr>
                <w:rFonts w:hint="eastAsia" w:ascii="仿宋_GB2312" w:hAnsi="宋体" w:cs="仿宋_GB2312"/>
                <w:kern w:val="0"/>
                <w:sz w:val="28"/>
              </w:rPr>
              <w:t>成都坤恒顺维科技股份有限公司</w:t>
            </w:r>
          </w:p>
        </w:tc>
      </w:tr>
      <w:tr w14:paraId="541B2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8" w:hRule="atLeast"/>
          <w:jc w:val="center"/>
        </w:trPr>
        <w:tc>
          <w:tcPr>
            <w:tcW w:w="1960" w:type="dxa"/>
            <w:vAlign w:val="center"/>
          </w:tcPr>
          <w:p w14:paraId="2E07E3DA">
            <w:pPr>
              <w:autoSpaceDE w:val="0"/>
              <w:autoSpaceDN w:val="0"/>
              <w:adjustRightInd w:val="0"/>
              <w:jc w:val="center"/>
              <w:rPr>
                <w:rFonts w:hint="eastAsia" w:ascii="仿宋_GB2312" w:hAnsi="宋体" w:cs="仿宋_GB2312"/>
                <w:kern w:val="0"/>
                <w:sz w:val="28"/>
              </w:rPr>
            </w:pPr>
            <w:r>
              <w:rPr>
                <w:rFonts w:hint="eastAsia" w:ascii="仿宋_GB2312" w:hAnsi="宋体" w:cs="仿宋_GB2312"/>
                <w:kern w:val="0"/>
                <w:sz w:val="28"/>
              </w:rPr>
              <w:t>项目基本情况</w:t>
            </w:r>
          </w:p>
        </w:tc>
        <w:tc>
          <w:tcPr>
            <w:tcW w:w="6559" w:type="dxa"/>
            <w:vAlign w:val="center"/>
          </w:tcPr>
          <w:p w14:paraId="0303E71C">
            <w:pPr>
              <w:autoSpaceDE w:val="0"/>
              <w:autoSpaceDN w:val="0"/>
              <w:adjustRightInd w:val="0"/>
              <w:jc w:val="left"/>
              <w:rPr>
                <w:rFonts w:hint="eastAsia" w:ascii="仿宋_GB2312" w:hAnsi="宋体" w:cs="仿宋_GB2312"/>
                <w:kern w:val="0"/>
                <w:sz w:val="28"/>
              </w:rPr>
            </w:pPr>
            <w:r>
              <w:rPr>
                <w:rFonts w:hint="eastAsia" w:ascii="仿宋_GB2312" w:hAnsi="宋体" w:cs="仿宋_GB2312"/>
                <w:kern w:val="0"/>
                <w:sz w:val="28"/>
                <w:lang w:eastAsia="zh-CN"/>
              </w:rPr>
              <w:t>信号激励与分析设备用于对被测设备提供所需激励信号，具备射频信号激励、分析和测试能力，以及信号波形检测能力。</w:t>
            </w:r>
          </w:p>
        </w:tc>
      </w:tr>
      <w:tr w14:paraId="2E6C9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0" w:type="dxa"/>
            <w:vAlign w:val="center"/>
          </w:tcPr>
          <w:p w14:paraId="6721078C">
            <w:pPr>
              <w:autoSpaceDE w:val="0"/>
              <w:autoSpaceDN w:val="0"/>
              <w:adjustRightInd w:val="0"/>
              <w:jc w:val="center"/>
              <w:rPr>
                <w:rFonts w:hint="eastAsia" w:ascii="仿宋_GB2312" w:hAnsi="宋体" w:cs="仿宋_GB2312"/>
                <w:kern w:val="0"/>
                <w:sz w:val="28"/>
              </w:rPr>
            </w:pPr>
            <w:r>
              <w:rPr>
                <w:rFonts w:hint="eastAsia" w:ascii="仿宋_GB2312" w:hAnsi="宋体" w:cs="仿宋_GB2312"/>
                <w:kern w:val="0"/>
                <w:sz w:val="28"/>
              </w:rPr>
              <w:t>直接指定依据</w:t>
            </w:r>
          </w:p>
        </w:tc>
        <w:tc>
          <w:tcPr>
            <w:tcW w:w="6559" w:type="dxa"/>
          </w:tcPr>
          <w:p w14:paraId="3D84B908">
            <w:pPr>
              <w:autoSpaceDE w:val="0"/>
              <w:autoSpaceDN w:val="0"/>
              <w:adjustRightInd w:val="0"/>
              <w:jc w:val="left"/>
              <w:rPr>
                <w:rFonts w:hint="eastAsia" w:ascii="仿宋_GB2312" w:hAnsi="宋体" w:cs="仿宋_GB2312"/>
                <w:kern w:val="0"/>
                <w:sz w:val="28"/>
              </w:rPr>
            </w:pPr>
            <w:r>
              <w:rPr>
                <w:rFonts w:hint="eastAsia" w:ascii="仿宋_GB2312" w:hAnsi="宋体" w:cs="仿宋_GB2312"/>
                <w:kern w:val="0"/>
                <w:sz w:val="28"/>
              </w:rPr>
              <w:t>经调查评估，在已知范围内只有一家潜在的优质供应商可供选择。</w:t>
            </w:r>
          </w:p>
        </w:tc>
      </w:tr>
      <w:tr w14:paraId="2648A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1960" w:type="dxa"/>
            <w:vAlign w:val="center"/>
          </w:tcPr>
          <w:p w14:paraId="08E04BC8">
            <w:pPr>
              <w:autoSpaceDE w:val="0"/>
              <w:autoSpaceDN w:val="0"/>
              <w:adjustRightInd w:val="0"/>
              <w:jc w:val="center"/>
              <w:rPr>
                <w:rFonts w:hint="eastAsia" w:ascii="仿宋_GB2312" w:hAnsi="宋体" w:cs="仿宋_GB2312"/>
                <w:kern w:val="0"/>
                <w:sz w:val="28"/>
              </w:rPr>
            </w:pPr>
            <w:r>
              <w:rPr>
                <w:rFonts w:hint="eastAsia" w:ascii="仿宋_GB2312" w:hAnsi="宋体" w:cs="仿宋_GB2312"/>
                <w:kern w:val="0"/>
                <w:sz w:val="28"/>
              </w:rPr>
              <w:t>具体描述</w:t>
            </w:r>
          </w:p>
        </w:tc>
        <w:tc>
          <w:tcPr>
            <w:tcW w:w="6559" w:type="dxa"/>
            <w:vAlign w:val="center"/>
          </w:tcPr>
          <w:p w14:paraId="3F97C62C">
            <w:pPr>
              <w:autoSpaceDE w:val="0"/>
              <w:autoSpaceDN w:val="0"/>
              <w:adjustRightInd w:val="0"/>
              <w:jc w:val="left"/>
              <w:rPr>
                <w:rFonts w:hint="eastAsia" w:ascii="仿宋_GB2312" w:hAnsi="宋体" w:cs="仿宋_GB2312" w:eastAsiaTheme="minorEastAsia"/>
                <w:kern w:val="0"/>
                <w:sz w:val="28"/>
                <w:lang w:eastAsia="zh-CN"/>
              </w:rPr>
            </w:pPr>
            <w:r>
              <w:rPr>
                <w:rFonts w:hint="eastAsia" w:ascii="仿宋_GB2312" w:hAnsi="宋体" w:cs="仿宋_GB2312"/>
                <w:kern w:val="0"/>
                <w:sz w:val="28"/>
                <w:lang w:val="en-US" w:eastAsia="zh-CN"/>
              </w:rPr>
              <w:t>/</w:t>
            </w:r>
          </w:p>
        </w:tc>
      </w:tr>
      <w:tr w14:paraId="12483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jc w:val="center"/>
        </w:trPr>
        <w:tc>
          <w:tcPr>
            <w:tcW w:w="1960" w:type="dxa"/>
            <w:vAlign w:val="center"/>
          </w:tcPr>
          <w:p w14:paraId="3CF19691">
            <w:pPr>
              <w:autoSpaceDE w:val="0"/>
              <w:autoSpaceDN w:val="0"/>
              <w:adjustRightInd w:val="0"/>
              <w:jc w:val="center"/>
              <w:rPr>
                <w:rFonts w:hint="eastAsia" w:ascii="仿宋_GB2312" w:hAnsi="宋体" w:cs="仿宋_GB2312"/>
                <w:kern w:val="0"/>
                <w:sz w:val="28"/>
              </w:rPr>
            </w:pPr>
            <w:r>
              <w:rPr>
                <w:rFonts w:hint="eastAsia" w:ascii="仿宋_GB2312" w:hAnsi="宋体" w:cs="仿宋_GB2312"/>
                <w:kern w:val="0"/>
                <w:sz w:val="28"/>
              </w:rPr>
              <w:t>结论和建议</w:t>
            </w:r>
          </w:p>
        </w:tc>
        <w:tc>
          <w:tcPr>
            <w:tcW w:w="6559" w:type="dxa"/>
            <w:vAlign w:val="center"/>
          </w:tcPr>
          <w:p w14:paraId="4ADCB58C">
            <w:pPr>
              <w:autoSpaceDE w:val="0"/>
              <w:autoSpaceDN w:val="0"/>
              <w:adjustRightInd w:val="0"/>
              <w:jc w:val="left"/>
              <w:rPr>
                <w:rFonts w:hint="eastAsia" w:ascii="仿宋_GB2312" w:hAnsi="宋体" w:cs="仿宋_GB2312"/>
                <w:kern w:val="0"/>
                <w:sz w:val="28"/>
              </w:rPr>
            </w:pPr>
            <w:r>
              <w:rPr>
                <w:rFonts w:hint="eastAsia" w:ascii="仿宋_GB2312" w:hAnsi="宋体" w:cs="仿宋_GB2312"/>
                <w:kern w:val="0"/>
                <w:sz w:val="28"/>
              </w:rPr>
              <w:t>建议直接指定成都坤恒顺维科技股份有限公司为商飞软件有限公司信号激励与分析设备</w:t>
            </w:r>
            <w:bookmarkStart w:id="0" w:name="_GoBack"/>
            <w:bookmarkEnd w:id="0"/>
            <w:r>
              <w:rPr>
                <w:rFonts w:hint="eastAsia" w:ascii="仿宋_GB2312" w:hAnsi="宋体" w:cs="仿宋_GB2312"/>
                <w:kern w:val="0"/>
                <w:sz w:val="28"/>
              </w:rPr>
              <w:t>采购</w:t>
            </w:r>
            <w:r>
              <w:rPr>
                <w:rFonts w:ascii="仿宋_GB2312" w:hAnsi="宋体" w:cs="仿宋_GB2312"/>
                <w:kern w:val="0"/>
                <w:sz w:val="28"/>
              </w:rPr>
              <w:t>项目</w:t>
            </w:r>
            <w:r>
              <w:rPr>
                <w:rFonts w:hint="eastAsia" w:ascii="仿宋_GB2312" w:hAnsi="宋体" w:cs="仿宋_GB2312"/>
                <w:kern w:val="0"/>
                <w:sz w:val="28"/>
                <w:lang w:val="en-US" w:eastAsia="zh-CN"/>
              </w:rPr>
              <w:t>的供应商</w:t>
            </w:r>
            <w:r>
              <w:rPr>
                <w:rFonts w:hint="eastAsia" w:ascii="仿宋_GB2312" w:hAnsi="宋体" w:cs="仿宋_GB2312"/>
                <w:kern w:val="0"/>
                <w:sz w:val="28"/>
              </w:rPr>
              <w:t>。</w:t>
            </w:r>
          </w:p>
        </w:tc>
      </w:tr>
      <w:tr w14:paraId="687D9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0" w:type="dxa"/>
            <w:vAlign w:val="center"/>
          </w:tcPr>
          <w:p w14:paraId="16B83563">
            <w:pPr>
              <w:autoSpaceDE w:val="0"/>
              <w:autoSpaceDN w:val="0"/>
              <w:adjustRightInd w:val="0"/>
              <w:jc w:val="center"/>
              <w:rPr>
                <w:rFonts w:hint="eastAsia" w:ascii="仿宋_GB2312" w:hAnsi="宋体" w:cs="仿宋_GB2312"/>
                <w:kern w:val="0"/>
                <w:sz w:val="28"/>
              </w:rPr>
            </w:pPr>
            <w:r>
              <w:rPr>
                <w:rFonts w:hint="eastAsia" w:ascii="仿宋_GB2312" w:hAnsi="宋体" w:cs="仿宋_GB2312"/>
                <w:kern w:val="0"/>
                <w:sz w:val="28"/>
              </w:rPr>
              <w:t>其他需要说明</w:t>
            </w:r>
          </w:p>
          <w:p w14:paraId="16333602">
            <w:pPr>
              <w:autoSpaceDE w:val="0"/>
              <w:autoSpaceDN w:val="0"/>
              <w:adjustRightInd w:val="0"/>
              <w:jc w:val="center"/>
              <w:rPr>
                <w:rFonts w:hint="eastAsia" w:ascii="仿宋_GB2312" w:hAnsi="宋体" w:cs="仿宋_GB2312"/>
                <w:kern w:val="0"/>
                <w:sz w:val="28"/>
              </w:rPr>
            </w:pPr>
            <w:r>
              <w:rPr>
                <w:rFonts w:hint="eastAsia" w:ascii="仿宋_GB2312" w:hAnsi="宋体" w:cs="仿宋_GB2312"/>
                <w:kern w:val="0"/>
                <w:sz w:val="28"/>
              </w:rPr>
              <w:t>事项</w:t>
            </w:r>
          </w:p>
        </w:tc>
        <w:tc>
          <w:tcPr>
            <w:tcW w:w="6559" w:type="dxa"/>
            <w:vAlign w:val="center"/>
          </w:tcPr>
          <w:p w14:paraId="7B342F2A">
            <w:pPr>
              <w:autoSpaceDE w:val="0"/>
              <w:autoSpaceDN w:val="0"/>
              <w:adjustRightInd w:val="0"/>
              <w:jc w:val="left"/>
              <w:rPr>
                <w:rFonts w:hint="default" w:ascii="仿宋_GB2312" w:hAnsi="宋体" w:cs="仿宋_GB2312" w:eastAsiaTheme="minorEastAsia"/>
                <w:kern w:val="0"/>
                <w:sz w:val="28"/>
                <w:lang w:val="en-US" w:eastAsia="zh-CN"/>
              </w:rPr>
            </w:pPr>
            <w:r>
              <w:rPr>
                <w:rFonts w:hint="eastAsia" w:ascii="仿宋_GB2312" w:hAnsi="宋体" w:cs="仿宋_GB2312"/>
                <w:kern w:val="0"/>
                <w:sz w:val="28"/>
                <w:lang w:val="en-US" w:eastAsia="zh-CN"/>
              </w:rPr>
              <w:t>无</w:t>
            </w:r>
          </w:p>
        </w:tc>
      </w:tr>
      <w:tr w14:paraId="18A60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0" w:type="dxa"/>
            <w:vAlign w:val="center"/>
          </w:tcPr>
          <w:p w14:paraId="54F11BC3">
            <w:pPr>
              <w:autoSpaceDE w:val="0"/>
              <w:autoSpaceDN w:val="0"/>
              <w:adjustRightInd w:val="0"/>
              <w:jc w:val="center"/>
              <w:rPr>
                <w:rFonts w:hint="eastAsia" w:ascii="仿宋_GB2312" w:hAnsi="宋体" w:eastAsia="仿宋_GB2312" w:cs="仿宋_GB2312"/>
                <w:kern w:val="0"/>
                <w:sz w:val="28"/>
              </w:rPr>
            </w:pPr>
            <w:r>
              <w:rPr>
                <w:rFonts w:hint="eastAsia" w:ascii="仿宋_GB2312" w:hAnsi="宋体" w:cs="仿宋_GB2312"/>
                <w:kern w:val="0"/>
                <w:sz w:val="28"/>
              </w:rPr>
              <w:t>备注</w:t>
            </w:r>
          </w:p>
        </w:tc>
        <w:tc>
          <w:tcPr>
            <w:tcW w:w="6559" w:type="dxa"/>
            <w:vAlign w:val="center"/>
          </w:tcPr>
          <w:p w14:paraId="52C23AEC">
            <w:pPr>
              <w:autoSpaceDE w:val="0"/>
              <w:autoSpaceDN w:val="0"/>
              <w:adjustRightInd w:val="0"/>
              <w:jc w:val="left"/>
              <w:rPr>
                <w:rFonts w:hint="eastAsia" w:ascii="仿宋_GB2312" w:hAnsi="宋体" w:cs="仿宋_GB2312"/>
                <w:kern w:val="0"/>
                <w:sz w:val="28"/>
              </w:rPr>
            </w:pPr>
            <w:r>
              <w:rPr>
                <w:rFonts w:ascii="仿宋_GB2312" w:hAnsi="宋体" w:cs="仿宋_GB2312"/>
                <w:kern w:val="0"/>
                <w:sz w:val="28"/>
              </w:rPr>
              <w:t>任何供应商、单位或者个人对采用</w:t>
            </w:r>
            <w:r>
              <w:rPr>
                <w:rFonts w:hint="eastAsia" w:ascii="仿宋_GB2312" w:hAnsi="宋体" w:cs="仿宋_GB2312"/>
                <w:kern w:val="0"/>
                <w:sz w:val="28"/>
              </w:rPr>
              <w:t>直接指定</w:t>
            </w:r>
            <w:r>
              <w:rPr>
                <w:rFonts w:ascii="仿宋_GB2312" w:hAnsi="宋体" w:cs="仿宋_GB2312"/>
                <w:kern w:val="0"/>
                <w:sz w:val="28"/>
              </w:rPr>
              <w:t>采购方式公示有异议的，可以在公示期内将书面意见（包括异议事项、理由等）反馈给采购人。</w:t>
            </w:r>
          </w:p>
          <w:p w14:paraId="74670FFC">
            <w:pPr>
              <w:autoSpaceDE w:val="0"/>
              <w:autoSpaceDN w:val="0"/>
              <w:adjustRightInd w:val="0"/>
              <w:jc w:val="left"/>
              <w:rPr>
                <w:rFonts w:hint="eastAsia" w:ascii="仿宋_GB2312" w:hAnsi="宋体" w:cs="仿宋_GB2312"/>
                <w:kern w:val="0"/>
                <w:sz w:val="28"/>
              </w:rPr>
            </w:pPr>
            <w:r>
              <w:rPr>
                <w:rFonts w:hint="eastAsia" w:ascii="仿宋_GB2312" w:hAnsi="宋体" w:cs="仿宋_GB2312"/>
                <w:kern w:val="0"/>
                <w:sz w:val="28"/>
              </w:rPr>
              <w:t>采购人：商飞软件有限公司</w:t>
            </w:r>
          </w:p>
          <w:p w14:paraId="6FE81D4C">
            <w:pPr>
              <w:autoSpaceDE w:val="0"/>
              <w:autoSpaceDN w:val="0"/>
              <w:adjustRightInd w:val="0"/>
              <w:jc w:val="left"/>
              <w:rPr>
                <w:rFonts w:hint="eastAsia" w:ascii="仿宋_GB2312" w:hAnsi="宋体" w:cs="仿宋_GB2312"/>
                <w:kern w:val="0"/>
                <w:sz w:val="28"/>
              </w:rPr>
            </w:pPr>
            <w:r>
              <w:rPr>
                <w:rFonts w:hint="eastAsia" w:ascii="仿宋_GB2312" w:hAnsi="宋体" w:cs="仿宋_GB2312"/>
                <w:kern w:val="0"/>
                <w:sz w:val="28"/>
              </w:rPr>
              <w:t>邮箱：</w:t>
            </w:r>
            <w:r>
              <w:rPr>
                <w:rFonts w:hint="eastAsia" w:ascii="Times New Roman" w:hAnsi="Times New Roman" w:cs="Times New Roman"/>
                <w:kern w:val="0"/>
                <w:sz w:val="28"/>
                <w:lang w:val="en-US" w:eastAsia="zh-CN"/>
              </w:rPr>
              <w:t>shaoyang</w:t>
            </w:r>
            <w:r>
              <w:rPr>
                <w:rFonts w:ascii="Times New Roman" w:hAnsi="Times New Roman" w:cs="Times New Roman"/>
                <w:kern w:val="0"/>
                <w:sz w:val="28"/>
              </w:rPr>
              <w:t>@comac.cc</w:t>
            </w:r>
          </w:p>
          <w:p w14:paraId="303B8096">
            <w:pPr>
              <w:autoSpaceDE w:val="0"/>
              <w:autoSpaceDN w:val="0"/>
              <w:adjustRightInd w:val="0"/>
              <w:jc w:val="left"/>
              <w:rPr>
                <w:rFonts w:hint="eastAsia" w:ascii="仿宋_GB2312" w:hAnsi="宋体" w:cs="仿宋_GB2312"/>
                <w:kern w:val="0"/>
                <w:sz w:val="28"/>
              </w:rPr>
            </w:pPr>
            <w:r>
              <w:rPr>
                <w:rFonts w:hint="eastAsia" w:ascii="仿宋_GB2312" w:hAnsi="宋体" w:cs="仿宋_GB2312"/>
                <w:kern w:val="0"/>
                <w:sz w:val="28"/>
              </w:rPr>
              <w:t>电话：021-20867996</w:t>
            </w:r>
          </w:p>
        </w:tc>
      </w:tr>
    </w:tbl>
    <w:p w14:paraId="1F3B5CF1">
      <w:pPr>
        <w:jc w:val="left"/>
        <w:rPr>
          <w:rFonts w:hint="eastAsia" w:asciiTheme="majorEastAsia" w:hAnsiTheme="majorEastAsia" w:eastAsiaTheme="majorEastAsia" w:cstheme="major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4353"/>
    <w:rsid w:val="000078AB"/>
    <w:rsid w:val="000767EC"/>
    <w:rsid w:val="00167DA4"/>
    <w:rsid w:val="002D6534"/>
    <w:rsid w:val="005A3DDF"/>
    <w:rsid w:val="005B71FC"/>
    <w:rsid w:val="00686626"/>
    <w:rsid w:val="00763C3A"/>
    <w:rsid w:val="007D4353"/>
    <w:rsid w:val="00883715"/>
    <w:rsid w:val="00914D8A"/>
    <w:rsid w:val="0093378E"/>
    <w:rsid w:val="009F206B"/>
    <w:rsid w:val="00A34F99"/>
    <w:rsid w:val="00CF37DB"/>
    <w:rsid w:val="00D16E47"/>
    <w:rsid w:val="00E24358"/>
    <w:rsid w:val="00F113B7"/>
    <w:rsid w:val="00F5432D"/>
    <w:rsid w:val="00FA7B29"/>
    <w:rsid w:val="063A2376"/>
    <w:rsid w:val="084F24D1"/>
    <w:rsid w:val="131F760C"/>
    <w:rsid w:val="15C85020"/>
    <w:rsid w:val="1E5A0E6A"/>
    <w:rsid w:val="21D73DBD"/>
    <w:rsid w:val="254D19D5"/>
    <w:rsid w:val="28B74948"/>
    <w:rsid w:val="2AF5107C"/>
    <w:rsid w:val="2B2A50AB"/>
    <w:rsid w:val="31533031"/>
    <w:rsid w:val="33AD7074"/>
    <w:rsid w:val="390A39E8"/>
    <w:rsid w:val="3E043D34"/>
    <w:rsid w:val="40240C37"/>
    <w:rsid w:val="423050F8"/>
    <w:rsid w:val="423A7D24"/>
    <w:rsid w:val="4348021F"/>
    <w:rsid w:val="4B461DF2"/>
    <w:rsid w:val="517815CB"/>
    <w:rsid w:val="53426A39"/>
    <w:rsid w:val="544D7AE9"/>
    <w:rsid w:val="558439AF"/>
    <w:rsid w:val="56027127"/>
    <w:rsid w:val="5CC606DB"/>
    <w:rsid w:val="6138591F"/>
    <w:rsid w:val="69DF4B8A"/>
    <w:rsid w:val="6BF67AEA"/>
    <w:rsid w:val="792238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annotation text"/>
    <w:basedOn w:val="1"/>
    <w:uiPriority w:val="0"/>
    <w:pPr>
      <w:jc w:val="left"/>
    </w:pPr>
  </w:style>
  <w:style w:type="paragraph" w:styleId="3">
    <w:name w:val="footer"/>
    <w:basedOn w:val="1"/>
    <w:link w:val="13"/>
    <w:qFormat/>
    <w:uiPriority w:val="0"/>
    <w:pPr>
      <w:tabs>
        <w:tab w:val="center" w:pos="4153"/>
        <w:tab w:val="right" w:pos="8306"/>
      </w:tabs>
      <w:snapToGrid w:val="0"/>
      <w:jc w:val="left"/>
    </w:pPr>
    <w:rPr>
      <w:sz w:val="18"/>
      <w:szCs w:val="18"/>
    </w:rPr>
  </w:style>
  <w:style w:type="paragraph" w:styleId="4">
    <w:name w:val="header"/>
    <w:basedOn w:val="1"/>
    <w:link w:val="12"/>
    <w:uiPriority w:val="0"/>
    <w:pPr>
      <w:tabs>
        <w:tab w:val="center" w:pos="4153"/>
        <w:tab w:val="right" w:pos="8306"/>
      </w:tabs>
      <w:snapToGrid w:val="0"/>
      <w:jc w:val="center"/>
    </w:pPr>
    <w:rPr>
      <w:sz w:val="18"/>
      <w:szCs w:val="18"/>
    </w:rPr>
  </w:style>
  <w:style w:type="paragraph" w:styleId="5">
    <w:name w:val="Normal (Web)"/>
    <w:basedOn w:val="1"/>
    <w:uiPriority w:val="0"/>
    <w:pPr>
      <w:spacing w:beforeAutospacing="1" w:afterAutospacing="1"/>
      <w:jc w:val="left"/>
    </w:pPr>
    <w:rPr>
      <w:rFonts w:cs="Times New Roman"/>
      <w:kern w:val="0"/>
      <w:sz w:val="24"/>
    </w:rPr>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basedOn w:val="8"/>
    <w:qFormat/>
    <w:uiPriority w:val="0"/>
    <w:rPr>
      <w:color w:val="0000FF"/>
      <w:u w:val="single"/>
    </w:rPr>
  </w:style>
  <w:style w:type="character" w:styleId="10">
    <w:name w:val="annotation reference"/>
    <w:basedOn w:val="8"/>
    <w:qFormat/>
    <w:uiPriority w:val="0"/>
    <w:rPr>
      <w:sz w:val="21"/>
      <w:szCs w:val="21"/>
    </w:rPr>
  </w:style>
  <w:style w:type="paragraph" w:customStyle="1" w:styleId="11">
    <w:name w:val="正文 body"/>
    <w:basedOn w:val="1"/>
    <w:qFormat/>
    <w:uiPriority w:val="0"/>
    <w:pPr>
      <w:spacing w:before="76" w:beforeLines="20" w:line="440" w:lineRule="exact"/>
      <w:ind w:firstLine="566" w:firstLineChars="202"/>
    </w:pPr>
    <w:rPr>
      <w:rFonts w:ascii="Arial" w:hAnsi="Arial" w:eastAsia="宋体"/>
      <w:lang w:val="zh-CN"/>
    </w:rPr>
  </w:style>
  <w:style w:type="character" w:customStyle="1" w:styleId="12">
    <w:name w:val="页眉 字符"/>
    <w:basedOn w:val="8"/>
    <w:link w:val="4"/>
    <w:uiPriority w:val="0"/>
    <w:rPr>
      <w:rFonts w:asciiTheme="minorHAnsi" w:hAnsiTheme="minorHAnsi" w:eastAsiaTheme="minorEastAsia" w:cstheme="minorBidi"/>
      <w:kern w:val="2"/>
      <w:sz w:val="18"/>
      <w:szCs w:val="18"/>
    </w:rPr>
  </w:style>
  <w:style w:type="character" w:customStyle="1" w:styleId="13">
    <w:name w:val="页脚 字符"/>
    <w:basedOn w:val="8"/>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485</Words>
  <Characters>520</Characters>
  <Lines>3</Lines>
  <Paragraphs>1</Paragraphs>
  <TotalTime>7</TotalTime>
  <ScaleCrop>false</ScaleCrop>
  <LinksUpToDate>false</LinksUpToDate>
  <CharactersWithSpaces>520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2026-01-13T02:22:00Z</dcterms:created>
  <dc:creator>邵洋</dc:creator>
  <cp:lastModifiedBy>仰望星空</cp:lastModifiedBy>
  <dcterms:modified xsi:type="dcterms:W3CDTF">2026-10-15T06:45:02Z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eyJoZGlkIjoiODA3ZmU2ODA1MzIxMjlmN2IxYjVhZGM1NDAxNDFmMTEiLCJ1c2VySWQiOiIxMzgyNTg4NDAwIn0=</vt:lpwstr>
  </property>
  <property fmtid="{D5CDD505-2E9C-101B-9397-08002B2CF9AE}" pid="4" name="ICV">
    <vt:lpwstr>871B8C6CF5EF4FAE8D70CC4257395043_12</vt:lpwstr>
  </property>
</Properties>
</file>