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9CD4E">
      <w:pPr>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附件：</w:t>
      </w:r>
    </w:p>
    <w:p w14:paraId="6BE2B862">
      <w:pPr>
        <w:autoSpaceDE w:val="0"/>
        <w:autoSpaceDN w:val="0"/>
        <w:adjustRightInd w:val="0"/>
        <w:spacing w:line="560" w:lineRule="exact"/>
        <w:jc w:val="center"/>
        <w:rPr>
          <w:rFonts w:hint="eastAsia" w:ascii="黑体" w:hAnsi="黑体" w:eastAsia="黑体" w:cs="黑体"/>
          <w:kern w:val="0"/>
          <w:sz w:val="44"/>
          <w:szCs w:val="28"/>
        </w:rPr>
      </w:pPr>
      <w:r>
        <w:rPr>
          <w:rFonts w:hint="eastAsia" w:ascii="黑体" w:hAnsi="黑体" w:eastAsia="黑体" w:cs="黑体"/>
          <w:kern w:val="0"/>
          <w:sz w:val="44"/>
          <w:szCs w:val="28"/>
        </w:rPr>
        <w:t>直接指定采购公告</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6559"/>
      </w:tblGrid>
      <w:tr w14:paraId="273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0" w:type="dxa"/>
            <w:vAlign w:val="center"/>
          </w:tcPr>
          <w:p w14:paraId="6604F76C">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项目名称</w:t>
            </w:r>
          </w:p>
        </w:tc>
        <w:tc>
          <w:tcPr>
            <w:tcW w:w="6559" w:type="dxa"/>
            <w:vAlign w:val="center"/>
          </w:tcPr>
          <w:p w14:paraId="3A6249DF">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第十六届中国航展展区场地租赁</w:t>
            </w:r>
            <w:r>
              <w:rPr>
                <w:rFonts w:ascii="仿宋_GB2312" w:hAnsi="宋体" w:cs="仿宋_GB2312"/>
                <w:kern w:val="0"/>
                <w:sz w:val="28"/>
              </w:rPr>
              <w:t>项目</w:t>
            </w:r>
          </w:p>
        </w:tc>
      </w:tr>
      <w:tr w14:paraId="3274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960" w:type="dxa"/>
            <w:vAlign w:val="center"/>
          </w:tcPr>
          <w:p w14:paraId="4FC72B1F">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供应商名称</w:t>
            </w:r>
          </w:p>
        </w:tc>
        <w:tc>
          <w:tcPr>
            <w:tcW w:w="6559" w:type="dxa"/>
            <w:vAlign w:val="center"/>
          </w:tcPr>
          <w:p w14:paraId="6E2FBCE6">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珠海航展集团有限公司</w:t>
            </w:r>
          </w:p>
        </w:tc>
      </w:tr>
      <w:tr w14:paraId="541B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8" w:hRule="atLeast"/>
          <w:jc w:val="center"/>
        </w:trPr>
        <w:tc>
          <w:tcPr>
            <w:tcW w:w="1960" w:type="dxa"/>
            <w:vAlign w:val="center"/>
          </w:tcPr>
          <w:p w14:paraId="2E07E3DA">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项目基本情况</w:t>
            </w:r>
          </w:p>
        </w:tc>
        <w:tc>
          <w:tcPr>
            <w:tcW w:w="6559" w:type="dxa"/>
            <w:vAlign w:val="center"/>
          </w:tcPr>
          <w:p w14:paraId="0303E71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商飞软件公司拟参加第十六届中国国际航空航天博览会（2026 年 12 月 7 日至 13 日，珠海），需要向主办方租赁展位承载商飞软件品牌体验展示，并向主办方获取符合展示需求的核心场地资源，确保展位位置与面积满足品牌曝光要求</w:t>
            </w:r>
            <w:r>
              <w:rPr>
                <w:rFonts w:ascii="仿宋_GB2312" w:hAnsi="宋体" w:cs="仿宋_GB2312"/>
                <w:kern w:val="0"/>
                <w:sz w:val="28"/>
              </w:rPr>
              <w:t>。</w:t>
            </w:r>
          </w:p>
        </w:tc>
      </w:tr>
      <w:tr w14:paraId="2E6C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0" w:type="dxa"/>
            <w:vAlign w:val="center"/>
          </w:tcPr>
          <w:p w14:paraId="6721078C">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直接指定依据</w:t>
            </w:r>
          </w:p>
        </w:tc>
        <w:tc>
          <w:tcPr>
            <w:tcW w:w="6559" w:type="dxa"/>
          </w:tcPr>
          <w:p w14:paraId="3D84B908">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经调查评估，在已知范围内只有一家潜在的优质供应商可供选择。</w:t>
            </w:r>
          </w:p>
        </w:tc>
      </w:tr>
      <w:tr w14:paraId="2648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5" w:hRule="atLeast"/>
          <w:jc w:val="center"/>
        </w:trPr>
        <w:tc>
          <w:tcPr>
            <w:tcW w:w="1960" w:type="dxa"/>
            <w:vAlign w:val="center"/>
          </w:tcPr>
          <w:p w14:paraId="08E04BC8">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具体描述</w:t>
            </w:r>
            <w:bookmarkStart w:id="0" w:name="_GoBack"/>
            <w:bookmarkEnd w:id="0"/>
          </w:p>
        </w:tc>
        <w:tc>
          <w:tcPr>
            <w:tcW w:w="6559" w:type="dxa"/>
            <w:vAlign w:val="center"/>
          </w:tcPr>
          <w:p w14:paraId="3F97C62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珠海航展集团有限公司作为第十六届中国航展的主办单位，是中国航展唯一官方的场地租赁提供方，已成功打造十五届蓝天盛会，推动中国航展跻身世界五大航展之列。珠海航展集团不仅拥有国内最大室外展览面积的现代化国际会展中心，更是中国航展唯一官方场地租赁提供方，依托“双航展”平台为航空航天及低空经济的高质量发展注入强劲动能。</w:t>
            </w:r>
          </w:p>
        </w:tc>
      </w:tr>
      <w:tr w14:paraId="1248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960" w:type="dxa"/>
            <w:vAlign w:val="center"/>
          </w:tcPr>
          <w:p w14:paraId="3CF19691">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结论和建议</w:t>
            </w:r>
          </w:p>
        </w:tc>
        <w:tc>
          <w:tcPr>
            <w:tcW w:w="6559" w:type="dxa"/>
            <w:vAlign w:val="center"/>
          </w:tcPr>
          <w:p w14:paraId="4ADCB58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建议直接指定珠海航展集团有限公司为商飞软件有限公司提供第十六届中国航展展区场地租赁及展期权益保障服务。</w:t>
            </w:r>
          </w:p>
        </w:tc>
      </w:tr>
      <w:tr w14:paraId="687D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0" w:type="dxa"/>
            <w:vAlign w:val="center"/>
          </w:tcPr>
          <w:p w14:paraId="16B83563">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其他需要说明</w:t>
            </w:r>
          </w:p>
          <w:p w14:paraId="16333602">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事项</w:t>
            </w:r>
          </w:p>
        </w:tc>
        <w:tc>
          <w:tcPr>
            <w:tcW w:w="6559" w:type="dxa"/>
            <w:vAlign w:val="center"/>
          </w:tcPr>
          <w:p w14:paraId="7B342F2A">
            <w:pPr>
              <w:autoSpaceDE w:val="0"/>
              <w:autoSpaceDN w:val="0"/>
              <w:adjustRightInd w:val="0"/>
              <w:jc w:val="left"/>
              <w:rPr>
                <w:rFonts w:hint="default" w:ascii="仿宋_GB2312" w:hAnsi="宋体" w:cs="仿宋_GB2312" w:eastAsiaTheme="minorEastAsia"/>
                <w:kern w:val="0"/>
                <w:sz w:val="28"/>
                <w:lang w:val="en-US" w:eastAsia="zh-CN"/>
              </w:rPr>
            </w:pPr>
            <w:r>
              <w:rPr>
                <w:rFonts w:hint="eastAsia" w:ascii="仿宋_GB2312" w:hAnsi="宋体" w:cs="仿宋_GB2312"/>
                <w:kern w:val="0"/>
                <w:sz w:val="28"/>
                <w:lang w:val="en-US" w:eastAsia="zh-CN"/>
              </w:rPr>
              <w:t>无</w:t>
            </w:r>
          </w:p>
        </w:tc>
      </w:tr>
      <w:tr w14:paraId="18A6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0" w:type="dxa"/>
            <w:vAlign w:val="center"/>
          </w:tcPr>
          <w:p w14:paraId="54F11BC3">
            <w:pPr>
              <w:autoSpaceDE w:val="0"/>
              <w:autoSpaceDN w:val="0"/>
              <w:adjustRightInd w:val="0"/>
              <w:jc w:val="center"/>
              <w:rPr>
                <w:rFonts w:hint="eastAsia" w:ascii="仿宋_GB2312" w:hAnsi="宋体" w:eastAsia="仿宋_GB2312" w:cs="仿宋_GB2312"/>
                <w:kern w:val="0"/>
                <w:sz w:val="28"/>
              </w:rPr>
            </w:pPr>
            <w:r>
              <w:rPr>
                <w:rFonts w:hint="eastAsia" w:ascii="仿宋_GB2312" w:hAnsi="宋体" w:cs="仿宋_GB2312"/>
                <w:kern w:val="0"/>
                <w:sz w:val="28"/>
              </w:rPr>
              <w:t>备注</w:t>
            </w:r>
          </w:p>
        </w:tc>
        <w:tc>
          <w:tcPr>
            <w:tcW w:w="6559" w:type="dxa"/>
            <w:vAlign w:val="center"/>
          </w:tcPr>
          <w:p w14:paraId="52C23AEC">
            <w:pPr>
              <w:autoSpaceDE w:val="0"/>
              <w:autoSpaceDN w:val="0"/>
              <w:adjustRightInd w:val="0"/>
              <w:jc w:val="left"/>
              <w:rPr>
                <w:rFonts w:hint="eastAsia" w:ascii="仿宋_GB2312" w:hAnsi="宋体" w:cs="仿宋_GB2312"/>
                <w:kern w:val="0"/>
                <w:sz w:val="28"/>
              </w:rPr>
            </w:pPr>
            <w:r>
              <w:rPr>
                <w:rFonts w:ascii="仿宋_GB2312" w:hAnsi="宋体" w:cs="仿宋_GB2312"/>
                <w:kern w:val="0"/>
                <w:sz w:val="28"/>
              </w:rPr>
              <w:t>任何供应商、单位或者个人对采用</w:t>
            </w:r>
            <w:r>
              <w:rPr>
                <w:rFonts w:hint="eastAsia" w:ascii="仿宋_GB2312" w:hAnsi="宋体" w:cs="仿宋_GB2312"/>
                <w:kern w:val="0"/>
                <w:sz w:val="28"/>
              </w:rPr>
              <w:t>直接指定</w:t>
            </w:r>
            <w:r>
              <w:rPr>
                <w:rFonts w:ascii="仿宋_GB2312" w:hAnsi="宋体" w:cs="仿宋_GB2312"/>
                <w:kern w:val="0"/>
                <w:sz w:val="28"/>
              </w:rPr>
              <w:t>采购方式公示有异议的，可以在公示期内将书面意见（包括异议事项、理由等）反馈给采购人。</w:t>
            </w:r>
          </w:p>
          <w:p w14:paraId="74670FF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采购人：商飞软件有限公司</w:t>
            </w:r>
          </w:p>
          <w:p w14:paraId="6FE81D4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邮箱：</w:t>
            </w:r>
            <w:r>
              <w:rPr>
                <w:rFonts w:hint="eastAsia" w:ascii="Times New Roman" w:hAnsi="Times New Roman" w:cs="Times New Roman"/>
                <w:kern w:val="0"/>
                <w:sz w:val="28"/>
                <w:lang w:val="en-US" w:eastAsia="zh-CN"/>
              </w:rPr>
              <w:t>shaoyang</w:t>
            </w:r>
            <w:r>
              <w:rPr>
                <w:rFonts w:ascii="Times New Roman" w:hAnsi="Times New Roman" w:cs="Times New Roman"/>
                <w:kern w:val="0"/>
                <w:sz w:val="28"/>
              </w:rPr>
              <w:t>@comac.cc</w:t>
            </w:r>
          </w:p>
          <w:p w14:paraId="303B8096">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电话：021-20867996</w:t>
            </w:r>
          </w:p>
        </w:tc>
      </w:tr>
    </w:tbl>
    <w:p w14:paraId="1F3B5CF1">
      <w:pPr>
        <w:jc w:val="left"/>
        <w:rPr>
          <w:rFonts w:hint="eastAsia" w:asciiTheme="majorEastAsia" w:hAnsiTheme="majorEastAsia" w:eastAsiaTheme="majorEastAsia" w:cstheme="maj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353"/>
    <w:rsid w:val="000078AB"/>
    <w:rsid w:val="000767EC"/>
    <w:rsid w:val="00167DA4"/>
    <w:rsid w:val="002D6534"/>
    <w:rsid w:val="005A3DDF"/>
    <w:rsid w:val="005B71FC"/>
    <w:rsid w:val="00686626"/>
    <w:rsid w:val="00763C3A"/>
    <w:rsid w:val="007D4353"/>
    <w:rsid w:val="00883715"/>
    <w:rsid w:val="00914D8A"/>
    <w:rsid w:val="0093378E"/>
    <w:rsid w:val="009F206B"/>
    <w:rsid w:val="00A34F99"/>
    <w:rsid w:val="00CF37DB"/>
    <w:rsid w:val="00D16E47"/>
    <w:rsid w:val="00E24358"/>
    <w:rsid w:val="00F113B7"/>
    <w:rsid w:val="00F5432D"/>
    <w:rsid w:val="00FA7B29"/>
    <w:rsid w:val="063A2376"/>
    <w:rsid w:val="084F24D1"/>
    <w:rsid w:val="131F760C"/>
    <w:rsid w:val="21D73DBD"/>
    <w:rsid w:val="254D19D5"/>
    <w:rsid w:val="28B74948"/>
    <w:rsid w:val="2AF5107C"/>
    <w:rsid w:val="2B2A50AB"/>
    <w:rsid w:val="31533031"/>
    <w:rsid w:val="33AD7074"/>
    <w:rsid w:val="390A39E8"/>
    <w:rsid w:val="3E043D34"/>
    <w:rsid w:val="40240C37"/>
    <w:rsid w:val="423050F8"/>
    <w:rsid w:val="423A7D24"/>
    <w:rsid w:val="4348021F"/>
    <w:rsid w:val="4B461DF2"/>
    <w:rsid w:val="517815CB"/>
    <w:rsid w:val="53426A39"/>
    <w:rsid w:val="544D7AE9"/>
    <w:rsid w:val="558439AF"/>
    <w:rsid w:val="56027127"/>
    <w:rsid w:val="5CC606DB"/>
    <w:rsid w:val="6138591F"/>
    <w:rsid w:val="69DF4B8A"/>
    <w:rsid w:val="6BF67AEA"/>
    <w:rsid w:val="79223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link w:val="13"/>
    <w:uiPriority w:val="0"/>
    <w:pPr>
      <w:tabs>
        <w:tab w:val="center" w:pos="4153"/>
        <w:tab w:val="right" w:pos="8306"/>
      </w:tabs>
      <w:snapToGrid w:val="0"/>
      <w:jc w:val="left"/>
    </w:pPr>
    <w:rPr>
      <w:sz w:val="18"/>
      <w:szCs w:val="18"/>
    </w:rPr>
  </w:style>
  <w:style w:type="paragraph" w:styleId="4">
    <w:name w:val="header"/>
    <w:basedOn w:val="1"/>
    <w:link w:val="12"/>
    <w:uiPriority w:val="0"/>
    <w:pPr>
      <w:tabs>
        <w:tab w:val="center" w:pos="4153"/>
        <w:tab w:val="right" w:pos="8306"/>
      </w:tabs>
      <w:snapToGrid w:val="0"/>
      <w:jc w:val="center"/>
    </w:pPr>
    <w:rPr>
      <w:sz w:val="18"/>
      <w:szCs w:val="18"/>
    </w:rPr>
  </w:style>
  <w:style w:type="paragraph" w:styleId="5">
    <w:name w:val="Normal (Web)"/>
    <w:basedOn w:val="1"/>
    <w:uiPriority w:val="0"/>
    <w:pPr>
      <w:spacing w:beforeAutospacing="1" w:afterAutospacing="1"/>
      <w:jc w:val="left"/>
    </w:pPr>
    <w:rPr>
      <w:rFonts w:cs="Times New Roman"/>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iPriority w:val="0"/>
    <w:rPr>
      <w:color w:val="0000FF"/>
      <w:u w:val="single"/>
    </w:rPr>
  </w:style>
  <w:style w:type="character" w:styleId="10">
    <w:name w:val="annotation reference"/>
    <w:basedOn w:val="8"/>
    <w:uiPriority w:val="0"/>
    <w:rPr>
      <w:sz w:val="21"/>
      <w:szCs w:val="21"/>
    </w:rPr>
  </w:style>
  <w:style w:type="paragraph" w:customStyle="1" w:styleId="11">
    <w:name w:val="正文 body"/>
    <w:basedOn w:val="1"/>
    <w:qFormat/>
    <w:uiPriority w:val="0"/>
    <w:pPr>
      <w:spacing w:before="76" w:beforeLines="20" w:line="440" w:lineRule="exact"/>
      <w:ind w:firstLine="566" w:firstLineChars="202"/>
    </w:pPr>
    <w:rPr>
      <w:rFonts w:ascii="Arial" w:hAnsi="Arial" w:eastAsia="宋体"/>
      <w:lang w:val="zh-CN"/>
    </w:rPr>
  </w:style>
  <w:style w:type="character" w:customStyle="1" w:styleId="12">
    <w:name w:val="页眉 字符"/>
    <w:basedOn w:val="8"/>
    <w:link w:val="4"/>
    <w:uiPriority w:val="0"/>
    <w:rPr>
      <w:rFonts w:asciiTheme="minorHAnsi" w:hAnsiTheme="minorHAnsi" w:eastAsiaTheme="minorEastAsia" w:cstheme="minorBidi"/>
      <w:kern w:val="2"/>
      <w:sz w:val="18"/>
      <w:szCs w:val="18"/>
    </w:rPr>
  </w:style>
  <w:style w:type="character" w:customStyle="1" w:styleId="13">
    <w:name w:val="页脚 字符"/>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470</Words>
  <Characters>512</Characters>
  <Lines>3</Lines>
  <Paragraphs>1</Paragraphs>
  <TotalTime>33</TotalTime>
  <ScaleCrop>false</ScaleCrop>
  <LinksUpToDate>false</LinksUpToDate>
  <CharactersWithSpaces>513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2026-01-13T02:22:00Z</dcterms:created>
  <dc:creator>邵洋</dc:creator>
  <cp:lastModifiedBy>仰望星空</cp:lastModifiedBy>
  <dcterms:modified xsi:type="dcterms:W3CDTF">2026-09-17T01:59:51Z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eyJoZGlkIjoiODA3ZmU2ODA1MzIxMjlmN2IxYjVhZGM1NDAxNDFmMTEiLCJ1c2VySWQiOiIxMzgyNTg4NDAwIn0=</vt:lpwstr>
  </property>
  <property fmtid="{D5CDD505-2E9C-101B-9397-08002B2CF9AE}" pid="4" name="ICV">
    <vt:lpwstr>871B8C6CF5EF4FAE8D70CC4257395043_12</vt:lpwstr>
  </property>
</Properties>
</file>