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6895B0">
      <w:pPr>
        <w:ind w:firstLine="0" w:firstLineChars="0"/>
        <w:jc w:val="center"/>
        <w:rPr>
          <w:rFonts w:hint="eastAsia" w:ascii="宋体" w:hAnsi="宋体"/>
          <w:color w:val="000000"/>
          <w:kern w:val="0"/>
          <w:sz w:val="44"/>
          <w:szCs w:val="44"/>
        </w:rPr>
      </w:pPr>
    </w:p>
    <w:p w14:paraId="2D434101">
      <w:pPr>
        <w:ind w:firstLine="0" w:firstLineChars="0"/>
        <w:jc w:val="center"/>
        <w:rPr>
          <w:rFonts w:hint="eastAsia" w:ascii="宋体" w:hAnsi="宋体"/>
          <w:color w:val="000000"/>
          <w:kern w:val="0"/>
          <w:sz w:val="44"/>
          <w:szCs w:val="44"/>
        </w:rPr>
      </w:pPr>
    </w:p>
    <w:p w14:paraId="08218275">
      <w:pPr>
        <w:ind w:firstLine="0" w:firstLineChars="0"/>
        <w:jc w:val="center"/>
        <w:rPr>
          <w:rFonts w:hint="eastAsia" w:ascii="宋体" w:hAnsi="宋体"/>
          <w:b/>
          <w:bCs/>
          <w:color w:val="000000"/>
          <w:kern w:val="0"/>
          <w:sz w:val="44"/>
          <w:szCs w:val="44"/>
        </w:rPr>
      </w:pPr>
      <w:r>
        <w:rPr>
          <w:rFonts w:hint="eastAsia" w:ascii="宋体" w:hAnsi="宋体"/>
          <w:b/>
          <w:bCs/>
          <w:color w:val="000000"/>
          <w:kern w:val="0"/>
          <w:sz w:val="44"/>
          <w:szCs w:val="44"/>
        </w:rPr>
        <w:t>商飞软件有限公司</w:t>
      </w:r>
    </w:p>
    <w:p w14:paraId="089673BC">
      <w:pPr>
        <w:ind w:firstLine="0" w:firstLineChars="0"/>
        <w:jc w:val="center"/>
        <w:rPr>
          <w:rFonts w:hint="eastAsia" w:ascii="宋体" w:hAnsi="宋体"/>
          <w:b/>
          <w:bCs/>
          <w:color w:val="000000"/>
          <w:kern w:val="0"/>
          <w:sz w:val="44"/>
          <w:szCs w:val="44"/>
        </w:rPr>
      </w:pPr>
      <w:r>
        <w:rPr>
          <w:rFonts w:hint="eastAsia" w:ascii="宋体" w:hAnsi="宋体"/>
          <w:b/>
          <w:bCs/>
          <w:color w:val="000000"/>
          <w:kern w:val="0"/>
          <w:sz w:val="44"/>
          <w:szCs w:val="44"/>
        </w:rPr>
        <w:t>【</w:t>
      </w:r>
      <w:r>
        <w:rPr>
          <w:rFonts w:hint="eastAsia" w:ascii="宋体" w:hAnsi="宋体" w:cs="宋体"/>
          <w:b/>
          <w:bCs/>
          <w:color w:val="000000"/>
          <w:kern w:val="0"/>
          <w:sz w:val="44"/>
          <w:szCs w:val="44"/>
        </w:rPr>
        <w:t>固定式数据分析</w:t>
      </w:r>
      <w:r>
        <w:rPr>
          <w:rFonts w:hint="eastAsia" w:ascii="宋体" w:hAnsi="宋体"/>
          <w:b/>
          <w:bCs/>
          <w:color w:val="000000"/>
          <w:kern w:val="0"/>
          <w:sz w:val="44"/>
          <w:szCs w:val="44"/>
        </w:rPr>
        <w:t>终端】</w:t>
      </w:r>
    </w:p>
    <w:p w14:paraId="0EE2B3BD">
      <w:pPr>
        <w:ind w:firstLine="0" w:firstLineChars="0"/>
        <w:jc w:val="center"/>
        <w:rPr>
          <w:rFonts w:hint="eastAsia" w:ascii="宋体" w:hAnsi="宋体"/>
          <w:b/>
          <w:bCs/>
          <w:color w:val="000000"/>
          <w:kern w:val="0"/>
          <w:sz w:val="44"/>
          <w:szCs w:val="44"/>
        </w:rPr>
      </w:pPr>
      <w:r>
        <w:rPr>
          <w:rFonts w:hint="eastAsia" w:ascii="宋体" w:hAnsi="宋体"/>
          <w:b/>
          <w:bCs/>
          <w:color w:val="000000"/>
          <w:kern w:val="0"/>
          <w:sz w:val="44"/>
          <w:szCs w:val="44"/>
        </w:rPr>
        <w:t>需求描述</w:t>
      </w:r>
    </w:p>
    <w:p w14:paraId="2A16153B">
      <w:pPr>
        <w:ind w:firstLine="0" w:firstLineChars="0"/>
        <w:jc w:val="center"/>
        <w:rPr>
          <w:rFonts w:hint="eastAsia" w:ascii="黑体" w:hAnsi="黑体" w:eastAsia="黑体"/>
          <w:color w:val="000000"/>
          <w:kern w:val="0"/>
          <w:sz w:val="44"/>
          <w:szCs w:val="44"/>
        </w:rPr>
      </w:pPr>
    </w:p>
    <w:p w14:paraId="2C393B6C">
      <w:pPr>
        <w:widowControl/>
        <w:adjustRightInd/>
        <w:snapToGrid/>
        <w:spacing w:line="240" w:lineRule="auto"/>
        <w:ind w:firstLine="0" w:firstLineChars="0"/>
        <w:rPr>
          <w:color w:val="000000"/>
          <w:kern w:val="0"/>
          <w:sz w:val="21"/>
          <w:szCs w:val="21"/>
        </w:rPr>
      </w:pPr>
      <w:r>
        <w:rPr>
          <w:rFonts w:hint="eastAsia" w:ascii="宋体" w:hAnsi="宋体"/>
          <w:color w:val="000000"/>
          <w:kern w:val="0"/>
          <w:sz w:val="21"/>
          <w:szCs w:val="21"/>
        </w:rPr>
        <w:t> </w:t>
      </w:r>
    </w:p>
    <w:p w14:paraId="2AA9608C">
      <w:pPr>
        <w:widowControl/>
        <w:adjustRightInd/>
        <w:snapToGrid/>
        <w:spacing w:line="240" w:lineRule="auto"/>
        <w:ind w:firstLine="420" w:firstLineChars="0"/>
        <w:rPr>
          <w:color w:val="000000"/>
          <w:kern w:val="0"/>
          <w:sz w:val="21"/>
          <w:szCs w:val="21"/>
        </w:rPr>
      </w:pPr>
      <w:r>
        <w:rPr>
          <w:rFonts w:hint="eastAsia" w:ascii="宋体" w:hAnsi="宋体"/>
          <w:color w:val="000000"/>
          <w:kern w:val="0"/>
          <w:sz w:val="21"/>
          <w:szCs w:val="21"/>
        </w:rPr>
        <w:t> </w:t>
      </w:r>
    </w:p>
    <w:p w14:paraId="3EE9AB2F">
      <w:pPr>
        <w:widowControl/>
        <w:adjustRightInd/>
        <w:snapToGrid/>
        <w:spacing w:line="240" w:lineRule="auto"/>
        <w:ind w:firstLine="0" w:firstLineChars="0"/>
        <w:jc w:val="left"/>
        <w:rPr>
          <w:rFonts w:hint="eastAsia" w:ascii="黑体" w:hAnsi="黑体" w:eastAsia="黑体" w:cs="仿宋"/>
          <w:color w:val="000000"/>
          <w:kern w:val="0"/>
          <w:sz w:val="32"/>
          <w:szCs w:val="32"/>
        </w:rPr>
      </w:pPr>
    </w:p>
    <w:p w14:paraId="2558F920">
      <w:pPr>
        <w:widowControl/>
        <w:adjustRightInd/>
        <w:snapToGrid/>
        <w:spacing w:line="240" w:lineRule="auto"/>
        <w:ind w:firstLine="0" w:firstLineChars="0"/>
        <w:jc w:val="left"/>
        <w:rPr>
          <w:rFonts w:hint="eastAsia" w:ascii="黑体" w:hAnsi="黑体" w:eastAsia="黑体" w:cs="仿宋"/>
          <w:color w:val="000000"/>
          <w:kern w:val="0"/>
          <w:sz w:val="32"/>
          <w:szCs w:val="32"/>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1077" w:footer="992" w:gutter="0"/>
          <w:pgNumType w:start="1"/>
          <w:cols w:space="425" w:num="1"/>
          <w:docGrid w:type="lines" w:linePitch="326" w:charSpace="0"/>
        </w:sectPr>
      </w:pPr>
    </w:p>
    <w:p w14:paraId="0107C1F5">
      <w:pPr>
        <w:widowControl/>
        <w:adjustRightInd/>
        <w:snapToGrid/>
        <w:spacing w:line="240" w:lineRule="auto"/>
        <w:ind w:firstLine="0" w:firstLineChars="0"/>
        <w:jc w:val="center"/>
        <w:rPr>
          <w:rFonts w:hint="eastAsia" w:ascii="黑体" w:hAnsi="黑体" w:eastAsia="黑体" w:cs="仿宋"/>
          <w:color w:val="000000"/>
          <w:kern w:val="0"/>
          <w:sz w:val="32"/>
          <w:szCs w:val="32"/>
        </w:rPr>
      </w:pPr>
      <w:r>
        <w:rPr>
          <w:rFonts w:hint="eastAsia" w:ascii="黑体" w:hAnsi="黑体" w:eastAsia="黑体" w:cs="仿宋"/>
          <w:color w:val="000000"/>
          <w:kern w:val="0"/>
          <w:sz w:val="32"/>
          <w:szCs w:val="32"/>
        </w:rPr>
        <w:t>【固定式数据分析终端】</w:t>
      </w:r>
    </w:p>
    <w:p w14:paraId="21A8892B">
      <w:pPr>
        <w:autoSpaceDE w:val="0"/>
        <w:spacing w:line="480" w:lineRule="exact"/>
        <w:ind w:firstLine="0" w:firstLineChars="0"/>
        <w:jc w:val="center"/>
        <w:rPr>
          <w:rFonts w:hint="eastAsia" w:ascii="黑体" w:hAnsi="黑体" w:eastAsia="黑体" w:cs="仿宋"/>
          <w:color w:val="000000"/>
          <w:kern w:val="0"/>
          <w:sz w:val="32"/>
          <w:szCs w:val="32"/>
        </w:rPr>
      </w:pPr>
      <w:r>
        <w:rPr>
          <w:rFonts w:hint="eastAsia" w:ascii="黑体" w:hAnsi="黑体" w:eastAsia="黑体" w:cs="仿宋"/>
          <w:color w:val="000000"/>
          <w:kern w:val="0"/>
          <w:sz w:val="32"/>
          <w:szCs w:val="32"/>
        </w:rPr>
        <w:t>项目需求描述</w:t>
      </w:r>
    </w:p>
    <w:p w14:paraId="0D5D3FB7">
      <w:pPr>
        <w:ind w:firstLine="480"/>
        <w:rPr>
          <w:rFonts w:hint="eastAsia" w:ascii="宋体" w:hAnsi="宋体"/>
          <w:lang w:bidi="ar"/>
        </w:rPr>
      </w:pPr>
    </w:p>
    <w:p w14:paraId="12B376DC">
      <w:pPr>
        <w:pStyle w:val="2"/>
        <w:numPr>
          <w:ilvl w:val="0"/>
          <w:numId w:val="0"/>
        </w:numPr>
        <w:rPr>
          <w:lang w:bidi="ar"/>
        </w:rPr>
      </w:pPr>
      <w:r>
        <w:rPr>
          <w:rFonts w:hint="eastAsia"/>
          <w:lang w:bidi="ar"/>
        </w:rPr>
        <w:t xml:space="preserve">1 </w:t>
      </w:r>
      <w:r>
        <w:rPr>
          <w:lang w:bidi="ar"/>
        </w:rPr>
        <w:t>项目背景</w:t>
      </w:r>
    </w:p>
    <w:p w14:paraId="40C974D3">
      <w:pPr>
        <w:ind w:firstLine="480"/>
        <w:rPr>
          <w:lang w:bidi="ar"/>
        </w:rPr>
      </w:pPr>
      <w:bookmarkStart w:id="0" w:name="_Toc8705"/>
      <w:r>
        <w:rPr>
          <w:rFonts w:hint="eastAsia"/>
          <w:lang w:bidi="ar"/>
        </w:rPr>
        <w:t>在仿真教学系统建设过程中，需要</w:t>
      </w:r>
      <w:r>
        <w:rPr>
          <w:lang w:bidi="ar"/>
        </w:rPr>
        <w:t>采购</w:t>
      </w:r>
      <w:r>
        <w:rPr>
          <w:rFonts w:hint="eastAsia"/>
          <w:lang w:bidi="ar"/>
        </w:rPr>
        <w:t>固定式数据分析终端以部署教学系统。</w:t>
      </w:r>
    </w:p>
    <w:p w14:paraId="7BFABE9E">
      <w:pPr>
        <w:pStyle w:val="2"/>
        <w:numPr>
          <w:ilvl w:val="0"/>
          <w:numId w:val="0"/>
        </w:numPr>
        <w:rPr>
          <w:szCs w:val="28"/>
        </w:rPr>
      </w:pPr>
      <w:r>
        <w:rPr>
          <w:lang w:bidi="ar"/>
        </w:rPr>
        <w:t>2 采购清单</w:t>
      </w:r>
      <w:bookmarkEnd w:id="0"/>
    </w:p>
    <w:p w14:paraId="25D67319">
      <w:pPr>
        <w:pStyle w:val="3"/>
        <w:numPr>
          <w:ilvl w:val="0"/>
          <w:numId w:val="0"/>
        </w:numPr>
        <w:rPr>
          <w:lang w:bidi="ar"/>
        </w:rPr>
      </w:pPr>
      <w:bookmarkStart w:id="1" w:name="_Toc12760"/>
      <w:r>
        <w:rPr>
          <w:lang w:bidi="ar"/>
        </w:rPr>
        <w:t>2.1商品型号及参数</w:t>
      </w:r>
      <w:bookmarkEnd w:id="1"/>
    </w:p>
    <w:p w14:paraId="2F0A488B">
      <w:pPr>
        <w:ind w:firstLine="480"/>
        <w:rPr>
          <w:lang w:bidi="ar"/>
        </w:rPr>
      </w:pPr>
      <w:r>
        <w:rPr>
          <w:rFonts w:hint="eastAsia"/>
          <w:lang w:bidi="ar"/>
        </w:rPr>
        <w:t>1、</w:t>
      </w:r>
      <w:r>
        <w:rPr>
          <w:lang w:bidi="ar"/>
        </w:rPr>
        <w:t>需采购的设备硬件需求参数如下：</w:t>
      </w:r>
      <w:bookmarkStart w:id="2" w:name="_Toc3968"/>
    </w:p>
    <w:tbl>
      <w:tblPr>
        <w:tblStyle w:val="29"/>
        <w:tblW w:w="990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3"/>
        <w:gridCol w:w="1157"/>
        <w:gridCol w:w="4396"/>
        <w:gridCol w:w="1153"/>
        <w:gridCol w:w="1141"/>
        <w:gridCol w:w="1409"/>
      </w:tblGrid>
      <w:tr w14:paraId="1E8F89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653" w:type="dxa"/>
            <w:vAlign w:val="center"/>
          </w:tcPr>
          <w:p w14:paraId="388DDAC2">
            <w:pPr>
              <w:ind w:firstLine="0" w:firstLineChars="0"/>
              <w:rPr>
                <w:rFonts w:hint="eastAsia" w:ascii="宋体" w:hAnsi="宋体" w:cs="宋体"/>
                <w:b/>
                <w:bCs/>
                <w:sz w:val="22"/>
                <w:lang w:bidi="ar"/>
              </w:rPr>
            </w:pPr>
            <w:r>
              <w:rPr>
                <w:rFonts w:hint="eastAsia" w:ascii="宋体" w:hAnsi="宋体" w:cs="宋体"/>
                <w:b/>
                <w:bCs/>
                <w:kern w:val="0"/>
                <w:sz w:val="22"/>
                <w:lang w:bidi="ar"/>
              </w:rPr>
              <w:t>序号</w:t>
            </w:r>
          </w:p>
        </w:tc>
        <w:tc>
          <w:tcPr>
            <w:tcW w:w="1157" w:type="dxa"/>
            <w:vAlign w:val="center"/>
          </w:tcPr>
          <w:p w14:paraId="350E0B49">
            <w:pPr>
              <w:ind w:firstLine="0" w:firstLineChars="0"/>
              <w:rPr>
                <w:rFonts w:hint="eastAsia" w:ascii="宋体" w:hAnsi="宋体" w:cs="宋体"/>
                <w:b/>
                <w:bCs/>
                <w:sz w:val="22"/>
                <w:lang w:bidi="ar"/>
              </w:rPr>
            </w:pPr>
            <w:r>
              <w:rPr>
                <w:rFonts w:hint="eastAsia" w:ascii="宋体" w:hAnsi="宋体" w:cs="宋体"/>
                <w:b/>
                <w:bCs/>
                <w:kern w:val="0"/>
                <w:sz w:val="22"/>
                <w:lang w:bidi="ar"/>
              </w:rPr>
              <w:t>物料名称</w:t>
            </w:r>
          </w:p>
        </w:tc>
        <w:tc>
          <w:tcPr>
            <w:tcW w:w="4396" w:type="dxa"/>
            <w:vAlign w:val="center"/>
          </w:tcPr>
          <w:p w14:paraId="76D3BBF2">
            <w:pPr>
              <w:ind w:firstLine="442"/>
              <w:jc w:val="center"/>
              <w:rPr>
                <w:rFonts w:hint="eastAsia" w:ascii="宋体" w:hAnsi="宋体" w:cs="宋体"/>
                <w:b/>
                <w:bCs/>
                <w:sz w:val="22"/>
                <w:lang w:bidi="ar"/>
              </w:rPr>
            </w:pPr>
            <w:r>
              <w:rPr>
                <w:rFonts w:hint="eastAsia" w:ascii="宋体" w:hAnsi="宋体" w:cs="宋体"/>
                <w:b/>
                <w:bCs/>
                <w:kern w:val="0"/>
                <w:sz w:val="22"/>
                <w:lang w:bidi="ar"/>
              </w:rPr>
              <w:t>参数要求</w:t>
            </w:r>
          </w:p>
        </w:tc>
        <w:tc>
          <w:tcPr>
            <w:tcW w:w="1153" w:type="dxa"/>
            <w:vAlign w:val="center"/>
          </w:tcPr>
          <w:p w14:paraId="33DE173E">
            <w:pPr>
              <w:ind w:firstLine="199" w:firstLineChars="90"/>
              <w:rPr>
                <w:rFonts w:hint="eastAsia" w:ascii="宋体" w:hAnsi="宋体" w:cs="宋体"/>
                <w:b/>
                <w:bCs/>
                <w:sz w:val="22"/>
                <w:lang w:bidi="ar"/>
              </w:rPr>
            </w:pPr>
            <w:r>
              <w:rPr>
                <w:rFonts w:hint="eastAsia" w:ascii="宋体" w:hAnsi="宋体" w:cs="宋体"/>
                <w:b/>
                <w:bCs/>
                <w:kern w:val="0"/>
                <w:sz w:val="22"/>
                <w:lang w:bidi="ar"/>
              </w:rPr>
              <w:t>数量</w:t>
            </w:r>
          </w:p>
        </w:tc>
        <w:tc>
          <w:tcPr>
            <w:tcW w:w="1141" w:type="dxa"/>
            <w:vAlign w:val="center"/>
          </w:tcPr>
          <w:p w14:paraId="06B5A26A">
            <w:pPr>
              <w:ind w:firstLine="199" w:firstLineChars="90"/>
              <w:rPr>
                <w:rFonts w:hint="eastAsia" w:ascii="宋体" w:hAnsi="宋体" w:cs="宋体"/>
                <w:b/>
                <w:bCs/>
                <w:kern w:val="0"/>
                <w:sz w:val="22"/>
                <w:lang w:bidi="ar"/>
              </w:rPr>
            </w:pPr>
            <w:r>
              <w:rPr>
                <w:rFonts w:hint="eastAsia" w:ascii="宋体" w:hAnsi="宋体" w:cs="宋体"/>
                <w:b/>
                <w:bCs/>
                <w:kern w:val="0"/>
                <w:sz w:val="22"/>
                <w:lang w:bidi="ar"/>
              </w:rPr>
              <w:t>单位</w:t>
            </w:r>
          </w:p>
        </w:tc>
        <w:tc>
          <w:tcPr>
            <w:tcW w:w="1409" w:type="dxa"/>
            <w:vAlign w:val="center"/>
          </w:tcPr>
          <w:p w14:paraId="161AD5FA">
            <w:pPr>
              <w:ind w:firstLine="442"/>
              <w:jc w:val="center"/>
              <w:rPr>
                <w:rFonts w:hint="eastAsia" w:ascii="宋体" w:hAnsi="宋体" w:cs="宋体"/>
                <w:b/>
                <w:bCs/>
                <w:sz w:val="22"/>
                <w:lang w:bidi="ar"/>
              </w:rPr>
            </w:pPr>
            <w:r>
              <w:rPr>
                <w:rFonts w:hint="eastAsia" w:ascii="宋体" w:hAnsi="宋体" w:cs="宋体"/>
                <w:b/>
                <w:bCs/>
                <w:kern w:val="0"/>
                <w:sz w:val="22"/>
                <w:lang w:bidi="ar"/>
              </w:rPr>
              <w:t>备注</w:t>
            </w:r>
          </w:p>
        </w:tc>
      </w:tr>
      <w:tr w14:paraId="53A2D6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3" w:type="dxa"/>
            <w:vAlign w:val="center"/>
          </w:tcPr>
          <w:p w14:paraId="2AE36FA0">
            <w:pPr>
              <w:ind w:firstLine="442"/>
              <w:rPr>
                <w:rFonts w:hint="eastAsia" w:ascii="宋体" w:hAnsi="宋体" w:cs="宋体"/>
                <w:sz w:val="22"/>
                <w:lang w:bidi="ar"/>
              </w:rPr>
            </w:pPr>
            <w:r>
              <w:rPr>
                <w:rFonts w:hint="eastAsia" w:ascii="宋体" w:hAnsi="宋体" w:cs="宋体"/>
                <w:b/>
                <w:bCs/>
                <w:color w:val="000000"/>
                <w:kern w:val="0"/>
                <w:sz w:val="22"/>
              </w:rPr>
              <w:t>1</w:t>
            </w:r>
          </w:p>
        </w:tc>
        <w:tc>
          <w:tcPr>
            <w:tcW w:w="1157" w:type="dxa"/>
            <w:vAlign w:val="center"/>
          </w:tcPr>
          <w:p w14:paraId="723E19A0">
            <w:pPr>
              <w:ind w:firstLine="0" w:firstLineChars="0"/>
              <w:rPr>
                <w:rFonts w:hint="eastAsia" w:ascii="宋体" w:hAnsi="宋体" w:cs="宋体"/>
                <w:sz w:val="22"/>
                <w:lang w:bidi="ar"/>
              </w:rPr>
            </w:pPr>
            <w:r>
              <w:rPr>
                <w:rFonts w:hint="eastAsia" w:ascii="宋体" w:hAnsi="宋体"/>
                <w:kern w:val="0"/>
                <w:szCs w:val="24"/>
              </w:rPr>
              <w:t>浪潮英政服务器 CS5280H2</w:t>
            </w:r>
          </w:p>
        </w:tc>
        <w:tc>
          <w:tcPr>
            <w:tcW w:w="4396" w:type="dxa"/>
            <w:vAlign w:val="center"/>
          </w:tcPr>
          <w:p w14:paraId="67FA56B1">
            <w:pPr>
              <w:adjustRightInd/>
              <w:snapToGrid/>
              <w:spacing w:line="240" w:lineRule="auto"/>
              <w:ind w:firstLine="0" w:firstLineChars="0"/>
              <w:jc w:val="left"/>
              <w:rPr>
                <w:rFonts w:hint="eastAsia" w:ascii="宋体" w:hAnsi="宋体"/>
                <w:kern w:val="0"/>
                <w:szCs w:val="24"/>
              </w:rPr>
            </w:pPr>
            <w:r>
              <w:rPr>
                <w:rFonts w:hint="eastAsia" w:ascii="宋体" w:hAnsi="宋体"/>
                <w:kern w:val="0"/>
                <w:szCs w:val="24"/>
              </w:rPr>
              <w:t>处理器：1*海光5380 (16核 32线程 2.5GHZ)；</w:t>
            </w:r>
          </w:p>
          <w:p w14:paraId="09DCA39D">
            <w:pPr>
              <w:adjustRightInd/>
              <w:snapToGrid/>
              <w:spacing w:line="240" w:lineRule="auto"/>
              <w:ind w:firstLine="0" w:firstLineChars="0"/>
              <w:jc w:val="left"/>
              <w:rPr>
                <w:rFonts w:hint="eastAsia" w:ascii="宋体" w:hAnsi="宋体"/>
                <w:kern w:val="0"/>
                <w:szCs w:val="24"/>
              </w:rPr>
            </w:pPr>
            <w:r>
              <w:rPr>
                <w:rFonts w:hint="eastAsia" w:ascii="宋体" w:hAnsi="宋体"/>
                <w:kern w:val="0"/>
                <w:szCs w:val="24"/>
              </w:rPr>
              <w:t>内存：2*32G DDR4；</w:t>
            </w:r>
          </w:p>
          <w:p w14:paraId="707D734E">
            <w:pPr>
              <w:adjustRightInd/>
              <w:snapToGrid/>
              <w:spacing w:line="240" w:lineRule="auto"/>
              <w:ind w:firstLine="0" w:firstLineChars="0"/>
              <w:jc w:val="left"/>
              <w:rPr>
                <w:rFonts w:hint="eastAsia" w:ascii="宋体" w:hAnsi="宋体"/>
                <w:kern w:val="0"/>
                <w:szCs w:val="24"/>
              </w:rPr>
            </w:pPr>
            <w:r>
              <w:rPr>
                <w:rFonts w:hint="eastAsia" w:ascii="宋体" w:hAnsi="宋体"/>
                <w:kern w:val="0"/>
                <w:szCs w:val="24"/>
              </w:rPr>
              <w:t>固态硬盘：1*480G SSD；</w:t>
            </w:r>
          </w:p>
          <w:p w14:paraId="17BD7D29">
            <w:pPr>
              <w:adjustRightInd/>
              <w:snapToGrid/>
              <w:spacing w:line="240" w:lineRule="auto"/>
              <w:ind w:firstLine="0" w:firstLineChars="0"/>
              <w:jc w:val="left"/>
              <w:rPr>
                <w:rFonts w:hint="eastAsia" w:ascii="宋体" w:hAnsi="宋体"/>
                <w:kern w:val="0"/>
                <w:szCs w:val="24"/>
              </w:rPr>
            </w:pPr>
            <w:r>
              <w:rPr>
                <w:rFonts w:hint="eastAsia" w:ascii="宋体" w:hAnsi="宋体"/>
                <w:kern w:val="0"/>
                <w:szCs w:val="24"/>
              </w:rPr>
              <w:t>机械硬盘：1*4T SATA 7.2K;</w:t>
            </w:r>
          </w:p>
          <w:p w14:paraId="5B775141">
            <w:pPr>
              <w:adjustRightInd/>
              <w:snapToGrid/>
              <w:spacing w:line="240" w:lineRule="auto"/>
              <w:ind w:firstLine="0" w:firstLineChars="0"/>
              <w:jc w:val="left"/>
              <w:rPr>
                <w:rFonts w:hint="eastAsia" w:ascii="宋体" w:hAnsi="宋体"/>
                <w:kern w:val="0"/>
                <w:szCs w:val="24"/>
              </w:rPr>
            </w:pPr>
            <w:r>
              <w:rPr>
                <w:rFonts w:hint="eastAsia" w:ascii="宋体" w:hAnsi="宋体"/>
                <w:kern w:val="0"/>
                <w:szCs w:val="24"/>
              </w:rPr>
              <w:t>RAID卡PM8222;</w:t>
            </w:r>
          </w:p>
          <w:p w14:paraId="0B750FC5">
            <w:pPr>
              <w:adjustRightInd/>
              <w:snapToGrid/>
              <w:spacing w:line="240" w:lineRule="auto"/>
              <w:ind w:firstLine="0" w:firstLineChars="0"/>
              <w:jc w:val="left"/>
              <w:rPr>
                <w:rFonts w:hint="eastAsia" w:ascii="宋体" w:hAnsi="宋体"/>
                <w:kern w:val="0"/>
                <w:szCs w:val="24"/>
              </w:rPr>
            </w:pPr>
            <w:r>
              <w:rPr>
                <w:rFonts w:hint="eastAsia" w:ascii="宋体" w:hAnsi="宋体"/>
                <w:kern w:val="0"/>
                <w:szCs w:val="24"/>
              </w:rPr>
              <w:t>双口千兆;</w:t>
            </w:r>
          </w:p>
          <w:p w14:paraId="24EAB449">
            <w:pPr>
              <w:adjustRightInd/>
              <w:snapToGrid/>
              <w:spacing w:line="240" w:lineRule="auto"/>
              <w:ind w:firstLine="0" w:firstLineChars="0"/>
              <w:jc w:val="left"/>
              <w:rPr>
                <w:rFonts w:hint="eastAsia" w:ascii="宋体" w:hAnsi="宋体"/>
                <w:kern w:val="0"/>
                <w:szCs w:val="24"/>
              </w:rPr>
            </w:pPr>
            <w:r>
              <w:rPr>
                <w:rFonts w:hint="eastAsia" w:ascii="宋体" w:hAnsi="宋体"/>
                <w:kern w:val="0"/>
                <w:szCs w:val="24"/>
              </w:rPr>
              <w:t>2*550W电源;</w:t>
            </w:r>
          </w:p>
          <w:p w14:paraId="5B132571">
            <w:pPr>
              <w:adjustRightInd/>
              <w:snapToGrid/>
              <w:spacing w:line="240" w:lineRule="auto"/>
              <w:ind w:firstLine="0" w:firstLineChars="0"/>
              <w:jc w:val="left"/>
              <w:rPr>
                <w:rFonts w:hint="eastAsia" w:ascii="宋体" w:hAnsi="宋体"/>
                <w:kern w:val="0"/>
                <w:szCs w:val="24"/>
              </w:rPr>
            </w:pPr>
            <w:r>
              <w:rPr>
                <w:rFonts w:hint="eastAsia" w:ascii="宋体" w:hAnsi="宋体"/>
                <w:kern w:val="0"/>
                <w:szCs w:val="24"/>
              </w:rPr>
              <w:t>导轨;</w:t>
            </w:r>
          </w:p>
          <w:p w14:paraId="0890407D">
            <w:pPr>
              <w:adjustRightInd/>
              <w:snapToGrid/>
              <w:spacing w:line="240" w:lineRule="auto"/>
              <w:ind w:firstLine="0" w:firstLineChars="0"/>
              <w:jc w:val="left"/>
              <w:rPr>
                <w:rFonts w:hint="eastAsia" w:ascii="宋体" w:hAnsi="宋体"/>
                <w:kern w:val="0"/>
                <w:szCs w:val="24"/>
              </w:rPr>
            </w:pPr>
            <w:r>
              <w:rPr>
                <w:rFonts w:ascii="宋体" w:hAnsi="宋体"/>
                <w:kern w:val="0"/>
                <w:szCs w:val="24"/>
              </w:rPr>
              <w:t>罗技MK106键鼠套装</w:t>
            </w:r>
            <w:r>
              <w:rPr>
                <w:rFonts w:hint="eastAsia" w:ascii="宋体" w:hAnsi="宋体"/>
                <w:kern w:val="0"/>
                <w:szCs w:val="24"/>
              </w:rPr>
              <w:t>;</w:t>
            </w:r>
          </w:p>
          <w:p w14:paraId="214AE654">
            <w:pPr>
              <w:widowControl/>
              <w:snapToGrid/>
              <w:ind w:firstLine="0" w:firstLineChars="0"/>
              <w:jc w:val="left"/>
              <w:textAlignment w:val="center"/>
              <w:rPr>
                <w:rFonts w:hint="eastAsia" w:ascii="宋体" w:hAnsi="宋体" w:cs="宋体"/>
                <w:color w:val="000000"/>
                <w:sz w:val="22"/>
              </w:rPr>
            </w:pPr>
            <w:r>
              <w:rPr>
                <w:rFonts w:ascii="宋体" w:hAnsi="宋体"/>
                <w:kern w:val="0"/>
                <w:szCs w:val="24"/>
              </w:rPr>
              <w:t>S2702F 27寸显示器</w:t>
            </w:r>
          </w:p>
        </w:tc>
        <w:tc>
          <w:tcPr>
            <w:tcW w:w="1153" w:type="dxa"/>
            <w:tcBorders>
              <w:top w:val="single" w:color="000000" w:sz="4" w:space="0"/>
              <w:left w:val="single" w:color="000000" w:sz="4" w:space="0"/>
              <w:bottom w:val="single" w:color="000000" w:sz="4" w:space="0"/>
              <w:right w:val="single" w:color="000000" w:sz="4" w:space="0"/>
            </w:tcBorders>
            <w:vAlign w:val="center"/>
          </w:tcPr>
          <w:p w14:paraId="5172EADF">
            <w:pPr>
              <w:ind w:firstLine="440"/>
              <w:jc w:val="center"/>
              <w:rPr>
                <w:rFonts w:hint="eastAsia" w:ascii="宋体" w:hAnsi="宋体" w:cs="宋体"/>
                <w:color w:val="000000"/>
                <w:sz w:val="22"/>
              </w:rPr>
            </w:pPr>
            <w:r>
              <w:rPr>
                <w:rFonts w:hint="eastAsia" w:ascii="宋体" w:hAnsi="宋体" w:cs="宋体"/>
                <w:color w:val="000000"/>
                <w:sz w:val="22"/>
              </w:rPr>
              <w:t>2</w:t>
            </w:r>
          </w:p>
        </w:tc>
        <w:tc>
          <w:tcPr>
            <w:tcW w:w="1141" w:type="dxa"/>
            <w:vAlign w:val="center"/>
          </w:tcPr>
          <w:p w14:paraId="6B25C808">
            <w:pPr>
              <w:ind w:firstLine="440"/>
              <w:jc w:val="center"/>
              <w:rPr>
                <w:rFonts w:hint="eastAsia" w:ascii="宋体" w:hAnsi="宋体" w:cs="宋体"/>
                <w:color w:val="000000"/>
                <w:sz w:val="22"/>
              </w:rPr>
            </w:pPr>
            <w:r>
              <w:rPr>
                <w:rFonts w:hint="eastAsia" w:ascii="宋体" w:hAnsi="宋体" w:cs="宋体"/>
                <w:color w:val="000000"/>
                <w:sz w:val="22"/>
              </w:rPr>
              <w:t>台</w:t>
            </w:r>
          </w:p>
        </w:tc>
        <w:tc>
          <w:tcPr>
            <w:tcW w:w="1409" w:type="dxa"/>
            <w:vAlign w:val="center"/>
          </w:tcPr>
          <w:p w14:paraId="3C48E5C0">
            <w:pPr>
              <w:ind w:firstLine="440"/>
              <w:jc w:val="center"/>
              <w:rPr>
                <w:rFonts w:hint="eastAsia" w:ascii="宋体" w:hAnsi="宋体" w:cs="宋体"/>
                <w:color w:val="000000"/>
                <w:sz w:val="22"/>
              </w:rPr>
            </w:pPr>
          </w:p>
        </w:tc>
      </w:tr>
    </w:tbl>
    <w:p w14:paraId="1F5272FB">
      <w:pPr>
        <w:spacing w:line="240" w:lineRule="auto"/>
        <w:ind w:firstLine="480"/>
        <w:rPr>
          <w:rFonts w:hint="eastAsia" w:ascii="等线" w:hAnsi="等线"/>
        </w:rPr>
      </w:pPr>
    </w:p>
    <w:p w14:paraId="3911C6F3">
      <w:pPr>
        <w:pStyle w:val="3"/>
        <w:numPr>
          <w:ilvl w:val="0"/>
          <w:numId w:val="0"/>
        </w:numPr>
        <w:rPr>
          <w:lang w:bidi="ar"/>
        </w:rPr>
      </w:pPr>
      <w:r>
        <w:rPr>
          <w:lang w:bidi="ar"/>
        </w:rPr>
        <w:t>2.2服务要求</w:t>
      </w:r>
      <w:bookmarkEnd w:id="2"/>
    </w:p>
    <w:p w14:paraId="7A0A21DB">
      <w:pPr>
        <w:ind w:firstLine="480"/>
      </w:pPr>
      <w:r>
        <w:rPr>
          <w:rFonts w:hint="eastAsia"/>
        </w:rPr>
        <w:t>合同签订后20天内设备全部到货，设备到货且现场环境准备就绪后完成安装调试、验收。</w:t>
      </w:r>
      <w:bookmarkStart w:id="3" w:name="_Toc17138"/>
    </w:p>
    <w:p w14:paraId="61B373EE">
      <w:pPr>
        <w:spacing w:before="163" w:beforeLines="50"/>
        <w:ind w:firstLine="480"/>
      </w:pPr>
      <w:r>
        <w:t>须按制造商出厂标准、国家相关技术标准及政府采购绿色包装要求进行包装，涉及的商品包装和快递包装，须严格符合《商品包装政府采购需求标准（试行）》《快递包装政府采购需求标准（试行）》（财办库〔2020〕123号）的相关规定。 2）包装应适应远距离运输、防潮、防震、防锈和防野蛮装卸的要求，确保货物安全无损运抵采购人指定地点。 3）包装由中标人全权负责，所有包装应完好无损，在外包装上须按采购人要求清晰标注货物名称、规格、数量、发货单位、收货单位、目的地及“小心轻放”“防潮”“向上”等储运标识。 4）包装材料须符合国家环保、可循环、可降解相关要求，严禁使用国家明令禁止的包装材料。 5）随货应附以下资料：产品合格证明文件（进口设备须附入关证明文件）、使用说明书及技术说明书、装箱清单、备件附件清单、保修卡、售后服务信息卡等。资料不全的，视为交付不合格。 6）采购人对包装的特殊要求：安全。 （2）运输： 1）货物运输由中标人负责，运输方式、路线由中标人自行确定，须确保货物在运输过程中的安全、完整，运输途中发生的货物损坏、丢失、延误等一切风险及损失，均由中标人承担。 2）中标人须按采购人指定的时间、地点完成交货，并承担运输过程中产生的全部费用（含运费、装卸费、保险费等）。 3）运输保险：中标人应为合同项下货物购买足额的运输保险，覆盖全程运输，保险费用由中标人承担。中标人应在发货前向采购人提供保险单复印件备查。</w:t>
      </w:r>
    </w:p>
    <w:p w14:paraId="3C734C20">
      <w:pPr>
        <w:spacing w:before="163" w:beforeLines="50"/>
        <w:ind w:firstLine="480"/>
      </w:pPr>
      <w:r>
        <w:t>设备到达采购人现场后，中标人根据采购人要求进行安装调试。 中标人安装调试人员必须在具备安装条件时按照采购人通知时间提前到达采购人指定地点，并做出详细设备安装及调试计划，经双方签字确认后开始合同设备安装及调试。 安装由中标人完成，采购人派员协助。中标人对整个项目进行总体负责。在安装调试施工期间，甲乙双方各指定一名现场负责人，负责现场协调和安排事宜。中标人现场人员须遵守采购人的规章制度，并采取严格的安全防护措施，由于中标人自身安全措施不力而造成的事故，其责任和由此产生的有关费用由中标人承担。安装调试期间中标人技术人员的食宿由中标人自行负责。 在设备就位、安装、调试过程中损坏的元器件，由中标人负责免费更换。 在安装过程及调试生产运行中，由中标人向采购人相关人员传授设备的操作规范、使用注意事项和维修知识，保证采购人有关人员能正确独立操作。 中标人为采购人提供书面的培训手册。</w:t>
      </w:r>
    </w:p>
    <w:p w14:paraId="5B12105F">
      <w:pPr>
        <w:ind w:firstLine="480"/>
        <w:rPr>
          <w:rFonts w:hint="eastAsia"/>
        </w:rPr>
      </w:pPr>
      <w:r>
        <w:t>（1）验收合格通过之日起6年（自验收合格之日算起） （2）中标人应提供及时优良的售后服务，确保整套设备的正常使用。 （3）质保期内，由于设计、制造质量和安装等原因，设备发生故障或局部损坏时，中标人接到采购人电话或传真通知2小时内响应；如有必要，中标人应采购人需求在24小时内赶到设备所在地解决问题，免费负责修理或更换，中标人承担因此产生的一切费用。要求在5个工作日内排除故障/或者在采购人允许的时间内排除故障，从而使设备正常工作。 （4）如果中标人接到故障信息后在合同规定的时间内没有以合理的速度弥补缺陷，采购人可采取必要的补救措施，但其风险和费用将由中标人承担，采购人根据合同规定对中标人行使的其他权力不受影响。 （5）质保期内，由于采购人使用操作不当等原因造成的设备故障或局部损坏时，中标人负责修理，只收取成本费用。 （6）质保期过后，中标人仍应负责设备的长期维护服务，收取相应的成本费。</w:t>
      </w:r>
    </w:p>
    <w:p w14:paraId="71C1B6A2">
      <w:pPr>
        <w:pStyle w:val="3"/>
        <w:numPr>
          <w:ilvl w:val="0"/>
          <w:numId w:val="0"/>
        </w:numPr>
        <w:rPr>
          <w:lang w:bidi="ar"/>
        </w:rPr>
      </w:pPr>
      <w:r>
        <w:rPr>
          <w:lang w:bidi="ar"/>
        </w:rPr>
        <w:t>2.3进度要求</w:t>
      </w:r>
      <w:bookmarkEnd w:id="3"/>
    </w:p>
    <w:tbl>
      <w:tblPr>
        <w:tblStyle w:val="29"/>
        <w:tblW w:w="467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6"/>
        <w:gridCol w:w="1979"/>
        <w:gridCol w:w="2814"/>
        <w:gridCol w:w="1452"/>
        <w:gridCol w:w="914"/>
      </w:tblGrid>
      <w:tr w14:paraId="0DFB1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484" w:type="pct"/>
            <w:vAlign w:val="center"/>
          </w:tcPr>
          <w:p w14:paraId="2F884A3B">
            <w:pPr>
              <w:ind w:firstLine="0" w:firstLineChars="0"/>
              <w:rPr>
                <w:szCs w:val="24"/>
              </w:rPr>
            </w:pPr>
            <w:r>
              <w:rPr>
                <w:szCs w:val="24"/>
              </w:rPr>
              <w:t>序号</w:t>
            </w:r>
          </w:p>
        </w:tc>
        <w:tc>
          <w:tcPr>
            <w:tcW w:w="1248" w:type="pct"/>
            <w:vAlign w:val="center"/>
          </w:tcPr>
          <w:p w14:paraId="1A948A22">
            <w:pPr>
              <w:ind w:firstLine="0" w:firstLineChars="0"/>
              <w:rPr>
                <w:szCs w:val="24"/>
              </w:rPr>
            </w:pPr>
            <w:r>
              <w:rPr>
                <w:szCs w:val="24"/>
              </w:rPr>
              <w:t>任务描述</w:t>
            </w:r>
          </w:p>
        </w:tc>
        <w:tc>
          <w:tcPr>
            <w:tcW w:w="1771" w:type="pct"/>
            <w:vAlign w:val="center"/>
          </w:tcPr>
          <w:p w14:paraId="4F8405E1">
            <w:pPr>
              <w:ind w:firstLine="199" w:firstLineChars="83"/>
              <w:rPr>
                <w:szCs w:val="24"/>
              </w:rPr>
            </w:pPr>
            <w:r>
              <w:rPr>
                <w:szCs w:val="24"/>
              </w:rPr>
              <w:t>交付成果</w:t>
            </w:r>
          </w:p>
        </w:tc>
        <w:tc>
          <w:tcPr>
            <w:tcW w:w="917" w:type="pct"/>
            <w:vAlign w:val="center"/>
          </w:tcPr>
          <w:p w14:paraId="16E2662D">
            <w:pPr>
              <w:ind w:firstLine="0" w:firstLineChars="0"/>
              <w:rPr>
                <w:szCs w:val="24"/>
              </w:rPr>
            </w:pPr>
            <w:r>
              <w:rPr>
                <w:szCs w:val="24"/>
              </w:rPr>
              <w:t>交付时间</w:t>
            </w:r>
          </w:p>
        </w:tc>
        <w:tc>
          <w:tcPr>
            <w:tcW w:w="580" w:type="pct"/>
            <w:vAlign w:val="center"/>
          </w:tcPr>
          <w:p w14:paraId="0676933C">
            <w:pPr>
              <w:ind w:firstLine="0" w:firstLineChars="0"/>
              <w:rPr>
                <w:szCs w:val="24"/>
              </w:rPr>
            </w:pPr>
            <w:r>
              <w:rPr>
                <w:szCs w:val="24"/>
              </w:rPr>
              <w:t>备注</w:t>
            </w:r>
          </w:p>
        </w:tc>
      </w:tr>
      <w:tr w14:paraId="1BC8C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484" w:type="pct"/>
            <w:vAlign w:val="center"/>
          </w:tcPr>
          <w:p w14:paraId="73E7D239">
            <w:pPr>
              <w:ind w:firstLine="480"/>
              <w:jc w:val="center"/>
              <w:rPr>
                <w:szCs w:val="24"/>
              </w:rPr>
            </w:pPr>
            <w:r>
              <w:rPr>
                <w:szCs w:val="24"/>
              </w:rPr>
              <w:t>1</w:t>
            </w:r>
          </w:p>
        </w:tc>
        <w:tc>
          <w:tcPr>
            <w:tcW w:w="1248" w:type="pct"/>
            <w:vAlign w:val="center"/>
          </w:tcPr>
          <w:p w14:paraId="1F78B73D">
            <w:pPr>
              <w:ind w:firstLine="0" w:firstLineChars="0"/>
              <w:rPr>
                <w:szCs w:val="24"/>
              </w:rPr>
            </w:pPr>
            <w:r>
              <w:rPr>
                <w:rFonts w:hint="eastAsia"/>
                <w:szCs w:val="24"/>
              </w:rPr>
              <w:t>现场工勘、规划设计、硬件安装部署完成交货</w:t>
            </w:r>
          </w:p>
        </w:tc>
        <w:tc>
          <w:tcPr>
            <w:tcW w:w="1771" w:type="pct"/>
            <w:vAlign w:val="center"/>
          </w:tcPr>
          <w:p w14:paraId="751A739A">
            <w:pPr>
              <w:ind w:firstLine="0" w:firstLineChars="0"/>
            </w:pPr>
            <w:r>
              <w:rPr>
                <w:rFonts w:hint="eastAsia"/>
              </w:rPr>
              <w:t>《合格证》《用户手册》《售后服务承诺函》等</w:t>
            </w:r>
          </w:p>
        </w:tc>
        <w:tc>
          <w:tcPr>
            <w:tcW w:w="917" w:type="pct"/>
            <w:vAlign w:val="center"/>
          </w:tcPr>
          <w:p w14:paraId="12D1CFFD">
            <w:pPr>
              <w:ind w:firstLine="0" w:firstLineChars="0"/>
              <w:rPr>
                <w:szCs w:val="24"/>
              </w:rPr>
            </w:pPr>
            <w:r>
              <w:rPr>
                <w:rFonts w:hint="eastAsia"/>
                <w:szCs w:val="24"/>
              </w:rPr>
              <w:t>合同签订后20天内到货</w:t>
            </w:r>
          </w:p>
        </w:tc>
        <w:tc>
          <w:tcPr>
            <w:tcW w:w="580" w:type="pct"/>
            <w:vAlign w:val="center"/>
          </w:tcPr>
          <w:p w14:paraId="1624C5E6">
            <w:pPr>
              <w:ind w:firstLine="480"/>
              <w:jc w:val="center"/>
              <w:rPr>
                <w:szCs w:val="24"/>
              </w:rPr>
            </w:pPr>
          </w:p>
        </w:tc>
      </w:tr>
      <w:tr w14:paraId="26684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7" w:hRule="atLeast"/>
          <w:jc w:val="center"/>
        </w:trPr>
        <w:tc>
          <w:tcPr>
            <w:tcW w:w="484" w:type="pct"/>
            <w:vAlign w:val="center"/>
          </w:tcPr>
          <w:p w14:paraId="00F058EA">
            <w:pPr>
              <w:ind w:firstLine="480"/>
              <w:jc w:val="center"/>
              <w:rPr>
                <w:szCs w:val="24"/>
              </w:rPr>
            </w:pPr>
            <w:r>
              <w:rPr>
                <w:szCs w:val="24"/>
              </w:rPr>
              <w:t>2</w:t>
            </w:r>
          </w:p>
        </w:tc>
        <w:tc>
          <w:tcPr>
            <w:tcW w:w="1248" w:type="pct"/>
            <w:vAlign w:val="center"/>
          </w:tcPr>
          <w:p w14:paraId="1F8FC926">
            <w:pPr>
              <w:ind w:firstLine="0" w:firstLineChars="0"/>
              <w:rPr>
                <w:lang w:bidi="ar"/>
              </w:rPr>
            </w:pPr>
            <w:r>
              <w:rPr>
                <w:rFonts w:hint="eastAsia"/>
                <w:lang w:bidi="ar"/>
              </w:rPr>
              <w:t>系统巡检、问题处理</w:t>
            </w:r>
          </w:p>
        </w:tc>
        <w:tc>
          <w:tcPr>
            <w:tcW w:w="1771" w:type="pct"/>
            <w:vAlign w:val="center"/>
          </w:tcPr>
          <w:p w14:paraId="6A247CDD">
            <w:pPr>
              <w:ind w:firstLine="199" w:firstLineChars="83"/>
              <w:rPr>
                <w:szCs w:val="24"/>
              </w:rPr>
            </w:pPr>
            <w:r>
              <w:rPr>
                <w:rFonts w:hint="eastAsia" w:ascii="宋体" w:hAnsi="宋体" w:cs="宋体"/>
                <w:szCs w:val="24"/>
                <w:lang w:bidi="ar"/>
              </w:rPr>
              <w:t>《运维总结报告》</w:t>
            </w:r>
          </w:p>
        </w:tc>
        <w:tc>
          <w:tcPr>
            <w:tcW w:w="917" w:type="pct"/>
            <w:vAlign w:val="center"/>
          </w:tcPr>
          <w:p w14:paraId="14D70942">
            <w:pPr>
              <w:ind w:firstLine="0" w:firstLineChars="0"/>
              <w:rPr>
                <w:lang w:bidi="ar"/>
              </w:rPr>
            </w:pPr>
            <w:r>
              <w:rPr>
                <w:rFonts w:hint="eastAsia"/>
                <w:lang w:bidi="ar"/>
              </w:rPr>
              <w:t>验收后6年</w:t>
            </w:r>
          </w:p>
        </w:tc>
        <w:tc>
          <w:tcPr>
            <w:tcW w:w="580" w:type="pct"/>
            <w:vAlign w:val="center"/>
          </w:tcPr>
          <w:p w14:paraId="188AF867">
            <w:pPr>
              <w:ind w:firstLine="480"/>
              <w:jc w:val="center"/>
              <w:rPr>
                <w:szCs w:val="24"/>
              </w:rPr>
            </w:pPr>
          </w:p>
        </w:tc>
      </w:tr>
    </w:tbl>
    <w:p w14:paraId="0AC1912C">
      <w:pPr>
        <w:pStyle w:val="3"/>
        <w:numPr>
          <w:ilvl w:val="1"/>
          <w:numId w:val="0"/>
        </w:numPr>
      </w:pPr>
      <w:bookmarkStart w:id="4" w:name="_Toc136366086"/>
      <w:bookmarkStart w:id="5" w:name="_Toc10093"/>
      <w:bookmarkStart w:id="6" w:name="_Toc130293442"/>
      <w:r>
        <w:rPr>
          <w:rFonts w:hint="eastAsia"/>
        </w:rPr>
        <w:t>2.4项</w:t>
      </w:r>
      <w:bookmarkStart w:id="7" w:name="OLE_LINK3"/>
      <w:r>
        <w:rPr>
          <w:rFonts w:hint="eastAsia"/>
        </w:rPr>
        <w:t>目交付与验收</w:t>
      </w:r>
      <w:bookmarkEnd w:id="4"/>
      <w:bookmarkEnd w:id="5"/>
      <w:bookmarkEnd w:id="6"/>
      <w:bookmarkEnd w:id="7"/>
    </w:p>
    <w:p w14:paraId="3EEB057F">
      <w:pPr>
        <w:ind w:firstLine="480"/>
      </w:pPr>
      <w:r>
        <w:t>承诺严格按照</w:t>
      </w:r>
      <w:r>
        <w:rPr>
          <w:rFonts w:hint="eastAsia"/>
        </w:rPr>
        <w:t>买方</w:t>
      </w:r>
      <w:r>
        <w:t>的验收程序开展项目验收工作：</w:t>
      </w:r>
    </w:p>
    <w:p w14:paraId="593EC209">
      <w:pPr>
        <w:numPr>
          <w:ilvl w:val="0"/>
          <w:numId w:val="7"/>
        </w:numPr>
        <w:adjustRightInd/>
        <w:snapToGrid/>
        <w:ind w:firstLine="480" w:firstLineChars="0"/>
        <w:rPr>
          <w:bCs/>
          <w:szCs w:val="24"/>
        </w:rPr>
      </w:pPr>
      <w:r>
        <w:rPr>
          <w:bCs/>
          <w:szCs w:val="24"/>
        </w:rPr>
        <w:t>到货验收时，承诺需出具产品合格证以及相关的技术资料；</w:t>
      </w:r>
    </w:p>
    <w:p w14:paraId="57A6B87F">
      <w:pPr>
        <w:numPr>
          <w:ilvl w:val="0"/>
          <w:numId w:val="7"/>
        </w:numPr>
        <w:adjustRightInd/>
        <w:snapToGrid/>
        <w:ind w:firstLine="480" w:firstLineChars="0"/>
        <w:rPr>
          <w:bCs/>
          <w:szCs w:val="24"/>
        </w:rPr>
      </w:pPr>
      <w:r>
        <w:rPr>
          <w:bCs/>
          <w:szCs w:val="24"/>
        </w:rPr>
        <w:t>完整性检查：产品运至指定地点，清查产品细分种类、型号、数量及文件等。此外，检查产品有无破损、划痕等现象；</w:t>
      </w:r>
    </w:p>
    <w:p w14:paraId="3200C930">
      <w:pPr>
        <w:numPr>
          <w:ilvl w:val="0"/>
          <w:numId w:val="7"/>
        </w:numPr>
        <w:adjustRightInd/>
        <w:snapToGrid/>
        <w:ind w:firstLine="480" w:firstLineChars="0"/>
        <w:rPr>
          <w:bCs/>
          <w:szCs w:val="24"/>
        </w:rPr>
      </w:pPr>
      <w:r>
        <w:rPr>
          <w:bCs/>
          <w:szCs w:val="24"/>
        </w:rPr>
        <w:t>性能检验：以技术协议及供应商技术资料为依据，验证产品的性能；</w:t>
      </w:r>
    </w:p>
    <w:p w14:paraId="6333033D">
      <w:pPr>
        <w:numPr>
          <w:ilvl w:val="0"/>
          <w:numId w:val="7"/>
        </w:numPr>
        <w:adjustRightInd/>
        <w:snapToGrid/>
        <w:ind w:firstLine="480" w:firstLineChars="0"/>
        <w:rPr>
          <w:bCs/>
          <w:szCs w:val="24"/>
        </w:rPr>
      </w:pPr>
      <w:r>
        <w:rPr>
          <w:bCs/>
          <w:szCs w:val="24"/>
        </w:rPr>
        <w:t>不合格品由</w:t>
      </w:r>
      <w:r>
        <w:rPr>
          <w:rFonts w:hint="eastAsia"/>
          <w:bCs/>
          <w:szCs w:val="24"/>
        </w:rPr>
        <w:t>承包人</w:t>
      </w:r>
      <w:r>
        <w:rPr>
          <w:bCs/>
          <w:szCs w:val="24"/>
        </w:rPr>
        <w:t>负责返厂维修、更换同型号的新产品，并承担由此产生的一切费用；</w:t>
      </w:r>
    </w:p>
    <w:p w14:paraId="37101BF8">
      <w:pPr>
        <w:numPr>
          <w:ilvl w:val="0"/>
          <w:numId w:val="7"/>
        </w:numPr>
        <w:adjustRightInd/>
        <w:snapToGrid/>
        <w:ind w:firstLine="480" w:firstLineChars="0"/>
      </w:pPr>
      <w:r>
        <w:rPr>
          <w:rFonts w:hint="eastAsia"/>
          <w:bCs/>
          <w:szCs w:val="24"/>
        </w:rPr>
        <w:t>交付实施</w:t>
      </w:r>
      <w:r>
        <w:rPr>
          <w:bCs/>
          <w:szCs w:val="24"/>
        </w:rPr>
        <w:t>：</w:t>
      </w:r>
      <w:r>
        <w:rPr>
          <w:rFonts w:hint="eastAsia"/>
          <w:bCs/>
          <w:szCs w:val="24"/>
        </w:rPr>
        <w:t>项目实施交付的供应商应该具有专业计算机设备的实施资质与交付能力，货物应来自原厂正规渠道，承接项目的供应商应具有原厂的授权</w:t>
      </w:r>
      <w:r>
        <w:rPr>
          <w:bCs/>
          <w:szCs w:val="24"/>
        </w:rPr>
        <w:t>；</w:t>
      </w:r>
    </w:p>
    <w:p w14:paraId="000DC6A6">
      <w:pPr>
        <w:ind w:firstLine="480"/>
      </w:pPr>
      <w:r>
        <w:rPr>
          <w:rFonts w:hint="eastAsia"/>
        </w:rPr>
        <w:t>交付与验收共分为以下两个阶段：</w:t>
      </w:r>
    </w:p>
    <w:p w14:paraId="2B8A81B5">
      <w:pPr>
        <w:numPr>
          <w:ilvl w:val="0"/>
          <w:numId w:val="8"/>
        </w:numPr>
        <w:adjustRightInd/>
        <w:snapToGrid/>
        <w:ind w:hanging="10" w:firstLineChars="0"/>
        <w:rPr>
          <w:bCs/>
          <w:szCs w:val="24"/>
        </w:rPr>
      </w:pPr>
      <w:r>
        <w:rPr>
          <w:rFonts w:hint="eastAsia"/>
          <w:bCs/>
          <w:szCs w:val="24"/>
        </w:rPr>
        <w:t>第一阶段：设备到货及安装，按照项目要求完成设备到货，安装、调试，交付物交付，并通过买方和最终使用方阶段评审；</w:t>
      </w:r>
    </w:p>
    <w:p w14:paraId="7B9EC775">
      <w:pPr>
        <w:numPr>
          <w:ilvl w:val="0"/>
          <w:numId w:val="8"/>
        </w:numPr>
        <w:adjustRightInd/>
        <w:snapToGrid/>
        <w:ind w:hanging="10" w:firstLineChars="0"/>
        <w:rPr>
          <w:bCs/>
          <w:szCs w:val="24"/>
        </w:rPr>
      </w:pPr>
      <w:r>
        <w:rPr>
          <w:rFonts w:hint="eastAsia"/>
          <w:bCs/>
          <w:szCs w:val="24"/>
        </w:rPr>
        <w:t>第二阶段：质保验收交付。</w:t>
      </w:r>
    </w:p>
    <w:p w14:paraId="1556BEA8">
      <w:pPr>
        <w:ind w:left="420" w:firstLine="480"/>
      </w:pPr>
      <w:r>
        <w:rPr>
          <w:rFonts w:hint="eastAsia"/>
        </w:rPr>
        <w:t>项目最终验收通过后，进入为期6年的质保期。</w:t>
      </w:r>
    </w:p>
    <w:p w14:paraId="3BDCDCEB">
      <w:pPr>
        <w:pStyle w:val="3"/>
        <w:numPr>
          <w:ilvl w:val="0"/>
          <w:numId w:val="0"/>
        </w:numPr>
        <w:rPr>
          <w:lang w:bidi="ar"/>
        </w:rPr>
      </w:pPr>
      <w:bookmarkStart w:id="8" w:name="_Toc10124"/>
      <w:r>
        <w:rPr>
          <w:lang w:bidi="ar"/>
        </w:rPr>
        <w:t>2.5交付日期及地点</w:t>
      </w:r>
      <w:bookmarkEnd w:id="8"/>
    </w:p>
    <w:p w14:paraId="2313EB74">
      <w:pPr>
        <w:ind w:firstLine="480"/>
        <w:rPr>
          <w:lang w:bidi="ar"/>
        </w:rPr>
      </w:pPr>
      <w:r>
        <w:rPr>
          <w:lang w:bidi="ar"/>
        </w:rPr>
        <w:t>交付日期：</w:t>
      </w:r>
      <w:r>
        <w:rPr>
          <w:rFonts w:hint="eastAsia"/>
        </w:rPr>
        <w:t>合同签订后20天内到货，设备到货且现场环境准备就绪后完成安装调试、验收</w:t>
      </w:r>
      <w:r>
        <w:rPr>
          <w:lang w:bidi="ar"/>
        </w:rPr>
        <w:t>；</w:t>
      </w:r>
    </w:p>
    <w:p w14:paraId="4E3C90F0">
      <w:pPr>
        <w:ind w:firstLine="480"/>
        <w:rPr>
          <w:lang w:bidi="ar"/>
        </w:rPr>
      </w:pPr>
      <w:r>
        <w:rPr>
          <w:lang w:bidi="ar"/>
        </w:rPr>
        <w:t>交付地点：</w:t>
      </w:r>
      <w:r>
        <w:rPr>
          <w:rFonts w:hint="eastAsia"/>
          <w:lang w:bidi="ar"/>
        </w:rPr>
        <w:t>山东省滨州市</w:t>
      </w:r>
      <w:r>
        <w:rPr>
          <w:lang w:bidi="ar"/>
        </w:rPr>
        <w:t>。</w:t>
      </w:r>
    </w:p>
    <w:p w14:paraId="04913230">
      <w:pPr>
        <w:pStyle w:val="3"/>
        <w:numPr>
          <w:ilvl w:val="1"/>
          <w:numId w:val="0"/>
        </w:numPr>
      </w:pPr>
      <w:bookmarkStart w:id="9" w:name="_Toc130293446"/>
      <w:bookmarkStart w:id="10" w:name="_Toc136366090"/>
      <w:bookmarkStart w:id="11" w:name="_Toc530983784"/>
      <w:bookmarkStart w:id="12" w:name="_Toc813"/>
      <w:bookmarkStart w:id="13" w:name="_Toc294694376"/>
      <w:r>
        <w:rPr>
          <w:rFonts w:hint="eastAsia"/>
        </w:rPr>
        <w:t>2.6知识转移</w:t>
      </w:r>
      <w:bookmarkEnd w:id="9"/>
      <w:bookmarkEnd w:id="10"/>
      <w:bookmarkEnd w:id="11"/>
      <w:bookmarkEnd w:id="12"/>
      <w:bookmarkEnd w:id="13"/>
    </w:p>
    <w:p w14:paraId="513F1D99">
      <w:pPr>
        <w:ind w:firstLine="480"/>
        <w:rPr>
          <w:lang w:bidi="ar"/>
        </w:rPr>
      </w:pPr>
      <w:r>
        <w:rPr>
          <w:rFonts w:hint="eastAsia" w:ascii="宋体" w:hAnsi="宋体" w:cs="宋体"/>
          <w:color w:val="000000"/>
        </w:rPr>
        <w:t>承诺在设备验收后，向使用方技术人员进行现场技术培训和提供必要的关于正常使用、维护和管理该设备的技能培训。</w:t>
      </w:r>
    </w:p>
    <w:p w14:paraId="7D5F5F54">
      <w:pPr>
        <w:pStyle w:val="3"/>
        <w:numPr>
          <w:ilvl w:val="0"/>
          <w:numId w:val="0"/>
        </w:numPr>
        <w:rPr>
          <w:lang w:bidi="ar"/>
        </w:rPr>
      </w:pPr>
      <w:bookmarkStart w:id="14" w:name="_Toc4195"/>
      <w:r>
        <w:rPr>
          <w:rFonts w:hint="eastAsia"/>
          <w:lang w:bidi="ar"/>
        </w:rPr>
        <w:t>2.7关键条款</w:t>
      </w:r>
      <w:bookmarkEnd w:id="14"/>
    </w:p>
    <w:p w14:paraId="4ED9172B">
      <w:pPr>
        <w:ind w:firstLine="480"/>
        <w:rPr>
          <w:lang w:bidi="ar"/>
        </w:rPr>
      </w:pPr>
      <w:r>
        <w:rPr>
          <w:rFonts w:hint="eastAsia"/>
          <w:lang w:bidi="ar"/>
        </w:rPr>
        <w:t>卖方已充分了解实际使用客户的需求、实施现场环境、可能出现的项目风险，出具切实可行方案，确保系统可正常运行，并对项目实施负责到底，充分考虑以下风险：1、软件&amp;授权，如：操作系统、虚拟化软件、防病毒软件、软件授权等；2、服务类确认，如：光模块、数据迁移、网络新旧割接等；3、辅材，如：机房间拉光纤/电缆/光模块等；4、兼容性：不同厂商的设备是否兼容；卖方不得以任何理由新增费用、不配合工作。</w:t>
      </w:r>
    </w:p>
    <w:p w14:paraId="795ABDFC">
      <w:pPr>
        <w:ind w:firstLine="480"/>
        <w:rPr>
          <w:lang w:bidi="ar"/>
        </w:rPr>
      </w:pPr>
      <w:r>
        <w:rPr>
          <w:rFonts w:hint="eastAsia"/>
          <w:lang w:bidi="ar"/>
        </w:rPr>
        <w:t>因卖方原因导致的设备及软件无法正常运行，无法达到最佳效能，卖方应和买方协商，出具方案解决，买方不承担由此造成的成本新增费用。</w:t>
      </w:r>
    </w:p>
    <w:p w14:paraId="293765EF">
      <w:pPr>
        <w:ind w:firstLine="480"/>
        <w:rPr>
          <w:lang w:bidi="ar"/>
        </w:rPr>
      </w:pPr>
      <w:r>
        <w:rPr>
          <w:rFonts w:hint="eastAsia"/>
          <w:lang w:bidi="ar"/>
        </w:rPr>
        <w:t>卖方应具有相应的资质，项目集中交付期，为了保证项目质量，项目组项目经理及核心成员应驻点实施，并保证项目组成员稳定。</w:t>
      </w:r>
    </w:p>
    <w:p w14:paraId="4D4E3F31">
      <w:pPr>
        <w:ind w:firstLine="480"/>
        <w:rPr>
          <w:lang w:bidi="ar"/>
        </w:rPr>
      </w:pPr>
      <w:r>
        <w:rPr>
          <w:rFonts w:hint="eastAsia"/>
          <w:lang w:bidi="ar"/>
        </w:rPr>
        <w:t>在项目实施过程中，卖方项目组团队应遵从买方工作安排，接受买方的监督和检查。针对卖方未按要求完成工作或工作不达标等情况，买方有权下达《整改通知书》并要求进行整改及签字，若下达2次《整改通知书》仍然不整改的，买方有权要求卖方更换能胜任工作要求的项目团队成员。</w:t>
      </w:r>
    </w:p>
    <w:p w14:paraId="4DDB0B93">
      <w:pPr>
        <w:pStyle w:val="3"/>
        <w:numPr>
          <w:ilvl w:val="0"/>
          <w:numId w:val="0"/>
        </w:numPr>
        <w:rPr>
          <w:bCs/>
          <w:szCs w:val="24"/>
        </w:rPr>
      </w:pPr>
      <w:bookmarkStart w:id="15" w:name="_Toc6045"/>
      <w:r>
        <w:rPr>
          <w:rFonts w:hint="eastAsia"/>
          <w:lang w:bidi="ar"/>
        </w:rPr>
        <w:t>2.8</w:t>
      </w:r>
      <w:r>
        <w:rPr>
          <w:rFonts w:ascii="黑体" w:hAnsi="宋体" w:cs="黑体"/>
          <w:bCs/>
          <w:szCs w:val="24"/>
          <w:lang w:bidi="ar"/>
        </w:rPr>
        <w:t>售后服务承诺</w:t>
      </w:r>
      <w:bookmarkEnd w:id="15"/>
    </w:p>
    <w:p w14:paraId="6757D8E5">
      <w:pPr>
        <w:numPr>
          <w:ilvl w:val="0"/>
          <w:numId w:val="9"/>
        </w:numPr>
        <w:adjustRightInd/>
        <w:snapToGrid/>
        <w:ind w:firstLine="480" w:firstLineChars="0"/>
        <w:rPr>
          <w:rFonts w:hint="eastAsia" w:ascii="宋体" w:hAnsi="宋体" w:cs="宋体"/>
          <w:color w:val="000000"/>
          <w:szCs w:val="24"/>
        </w:rPr>
      </w:pPr>
      <w:r>
        <w:rPr>
          <w:rFonts w:hint="eastAsia" w:ascii="宋体" w:hAnsi="宋体" w:cs="宋体"/>
          <w:color w:val="000000"/>
          <w:szCs w:val="24"/>
          <w:lang w:bidi="ar"/>
        </w:rPr>
        <w:t>本次采购的设备的售后技术支持应仅由卖方独立承担。卖方应对其售后服务、技术支持、维护外包方面的情况作出说明。</w:t>
      </w:r>
    </w:p>
    <w:p w14:paraId="3028C8DF">
      <w:pPr>
        <w:numPr>
          <w:ilvl w:val="0"/>
          <w:numId w:val="9"/>
        </w:numPr>
        <w:adjustRightInd/>
        <w:snapToGrid/>
        <w:ind w:firstLine="480" w:firstLineChars="0"/>
        <w:rPr>
          <w:rFonts w:hint="eastAsia" w:ascii="宋体" w:hAnsi="宋体" w:cs="宋体"/>
          <w:color w:val="000000"/>
          <w:szCs w:val="24"/>
        </w:rPr>
      </w:pPr>
      <w:r>
        <w:rPr>
          <w:rFonts w:hint="eastAsia" w:ascii="宋体" w:hAnsi="宋体" w:cs="宋体"/>
          <w:color w:val="000000"/>
          <w:szCs w:val="24"/>
          <w:lang w:bidi="ar"/>
        </w:rPr>
        <w:t>从项目终验之日起计算，卖方应提供免费质保服务6年。应提供固定的联系人，该联系人必须为外协方具有运维经验及故障处理能力的专业人员。</w:t>
      </w:r>
    </w:p>
    <w:p w14:paraId="27AEDA45">
      <w:pPr>
        <w:numPr>
          <w:ilvl w:val="0"/>
          <w:numId w:val="9"/>
        </w:numPr>
        <w:adjustRightInd/>
        <w:snapToGrid/>
        <w:ind w:firstLine="480" w:firstLineChars="0"/>
        <w:rPr>
          <w:rFonts w:hint="eastAsia" w:ascii="宋体" w:hAnsi="宋体" w:cs="宋体"/>
          <w:color w:val="000000"/>
          <w:szCs w:val="24"/>
        </w:rPr>
      </w:pPr>
      <w:r>
        <w:rPr>
          <w:rFonts w:hint="eastAsia" w:ascii="宋体" w:hAnsi="宋体" w:cs="宋体"/>
          <w:color w:val="000000"/>
          <w:szCs w:val="24"/>
          <w:lang w:bidi="ar"/>
        </w:rPr>
        <w:t>在质保期内，卖方应提供7*24小时的支持服务，支持服务类型包括电话、邮件、现场等方式，确保系统的正常使用。</w:t>
      </w:r>
    </w:p>
    <w:p w14:paraId="79F858F0">
      <w:pPr>
        <w:numPr>
          <w:ilvl w:val="0"/>
          <w:numId w:val="9"/>
        </w:numPr>
        <w:adjustRightInd/>
        <w:snapToGrid/>
        <w:ind w:firstLine="480" w:firstLineChars="0"/>
        <w:rPr>
          <w:rFonts w:hint="eastAsia" w:ascii="宋体" w:hAnsi="宋体" w:cs="宋体"/>
          <w:color w:val="000000"/>
          <w:szCs w:val="24"/>
        </w:rPr>
      </w:pPr>
      <w:r>
        <w:rPr>
          <w:rFonts w:hint="eastAsia" w:ascii="宋体" w:hAnsi="宋体" w:cs="宋体"/>
          <w:color w:val="000000"/>
          <w:szCs w:val="24"/>
          <w:lang w:bidi="ar"/>
        </w:rPr>
        <w:t>若系统出现故障，卖方必须在2小时内进行电话支持，指导现场处理问题。如在2小时内无法电话解决，如买方提出要求，卖方应在4小时内到达买方指定现场处理问题。</w:t>
      </w:r>
    </w:p>
    <w:p w14:paraId="4778E127">
      <w:pPr>
        <w:numPr>
          <w:ilvl w:val="0"/>
          <w:numId w:val="9"/>
        </w:numPr>
        <w:adjustRightInd/>
        <w:snapToGrid/>
        <w:ind w:firstLine="480" w:firstLineChars="0"/>
        <w:rPr>
          <w:rFonts w:hint="eastAsia" w:ascii="宋体" w:hAnsi="宋体" w:cs="宋体"/>
          <w:color w:val="000000"/>
          <w:szCs w:val="24"/>
          <w:lang w:bidi="ar"/>
        </w:rPr>
      </w:pPr>
      <w:r>
        <w:rPr>
          <w:rFonts w:hint="eastAsia" w:ascii="宋体" w:hAnsi="宋体" w:cs="宋体"/>
          <w:szCs w:val="24"/>
          <w:lang w:bidi="ar"/>
        </w:rPr>
        <w:t>在质保期内，如遇标准产品功能更新、系统错误补丁更新、修复安全漏洞、服务器迁移等，卖方需安排技术支持远程协助或现场安装。</w:t>
      </w:r>
      <w:r>
        <w:rPr>
          <w:rFonts w:hint="eastAsia" w:ascii="宋体" w:hAnsi="宋体" w:cs="宋体"/>
          <w:color w:val="000000"/>
          <w:szCs w:val="24"/>
          <w:lang w:bidi="ar"/>
        </w:rPr>
        <w:t>在质保期后，卖方根据合同要求向买方提供技术服务，以市场合理价格并参考本次采购价格对应的人天单价和总价提供买方需要的系统维护及系统更新升级服务。</w:t>
      </w:r>
    </w:p>
    <w:p w14:paraId="036279A7">
      <w:pPr>
        <w:pStyle w:val="2"/>
        <w:numPr>
          <w:ilvl w:val="0"/>
          <w:numId w:val="0"/>
        </w:numPr>
      </w:pPr>
      <w:r>
        <w:rPr>
          <w:rFonts w:hint="eastAsia"/>
        </w:rPr>
        <w:t>3 产品责任和质量保证</w:t>
      </w:r>
    </w:p>
    <w:p w14:paraId="73E19F08">
      <w:pPr>
        <w:spacing w:beforeAutospacing="1" w:afterAutospacing="1"/>
        <w:ind w:firstLine="480"/>
        <w:jc w:val="left"/>
      </w:pPr>
      <w:r>
        <w:rPr>
          <w:rFonts w:hint="eastAsia" w:ascii="宋体" w:hAnsi="宋体" w:cs="宋体"/>
          <w:szCs w:val="24"/>
          <w:lang w:bidi="ar"/>
        </w:rPr>
        <w:t>3.1  卖方保证所出售的标的物完好无损、全新并未被使用过，严格按照或符合国家相关标的物安全质量合格认证，符合国家法律、行业标准、生产厂家质量标准及本合同约定的目的、质量、规格和性能。</w:t>
      </w:r>
    </w:p>
    <w:p w14:paraId="319EEBEB">
      <w:pPr>
        <w:spacing w:beforeAutospacing="1" w:afterAutospacing="1"/>
        <w:ind w:firstLine="480"/>
        <w:jc w:val="left"/>
      </w:pPr>
      <w:r>
        <w:rPr>
          <w:rFonts w:hint="eastAsia" w:ascii="宋体" w:hAnsi="宋体" w:cs="宋体"/>
          <w:szCs w:val="24"/>
          <w:lang w:bidi="ar"/>
        </w:rPr>
        <w:t>3.2  卖方保证所出售的标的物符合环保要求，各项检测指标符合国家标准、行业标准及其他有关环保标准，不会对人体健康构成危害。</w:t>
      </w:r>
    </w:p>
    <w:p w14:paraId="38CD7382">
      <w:pPr>
        <w:spacing w:before="100" w:beforeAutospacing="1" w:after="100" w:afterAutospacing="1"/>
        <w:ind w:firstLine="480"/>
        <w:jc w:val="left"/>
      </w:pPr>
      <w:r>
        <w:rPr>
          <w:rFonts w:hint="eastAsia" w:ascii="宋体" w:hAnsi="宋体" w:cs="宋体"/>
          <w:szCs w:val="24"/>
          <w:lang w:bidi="ar"/>
        </w:rPr>
        <w:t>3.3  卖方按照原厂标准负责保修，保修期【6】年，自本合同约定的验收期届满且验收合格之日起算。</w:t>
      </w:r>
    </w:p>
    <w:p w14:paraId="3CD51399">
      <w:pPr>
        <w:spacing w:beforeAutospacing="1" w:afterAutospacing="1"/>
        <w:ind w:firstLine="480"/>
        <w:jc w:val="left"/>
      </w:pPr>
      <w:r>
        <w:rPr>
          <w:rFonts w:hint="eastAsia" w:ascii="宋体" w:hAnsi="宋体" w:cs="宋体"/>
          <w:szCs w:val="24"/>
          <w:lang w:bidi="ar"/>
        </w:rPr>
        <w:t>3.4  卖方应按照不低于国家相关“质量三包”要求进行退换货。如标的物在保修期内出现质量问题，卖方应根据买方要求提供免费修理服务，以保证标的物的正常使用，并在【2】日内完成修理或更换。如无法修理、修理后又出现质量问题或不能更换的，卖方应立即予以退货，由此产生的运费由卖方负担，但有证据证明是由于买方或其客户违反保养及操作手册的行为所造成的除外。</w:t>
      </w:r>
    </w:p>
    <w:p w14:paraId="555DB876">
      <w:pPr>
        <w:spacing w:beforeAutospacing="1" w:afterAutospacing="1"/>
        <w:ind w:firstLine="480"/>
        <w:jc w:val="left"/>
      </w:pPr>
      <w:r>
        <w:rPr>
          <w:rFonts w:hint="eastAsia" w:ascii="宋体" w:hAnsi="宋体" w:cs="宋体"/>
          <w:szCs w:val="24"/>
          <w:lang w:bidi="ar"/>
        </w:rPr>
        <w:t>3.5  标的物根据前述规定修理或更换后，保修期应重新起算。</w:t>
      </w:r>
    </w:p>
    <w:p w14:paraId="077A6595">
      <w:pPr>
        <w:spacing w:beforeAutospacing="1" w:afterAutospacing="1"/>
        <w:ind w:firstLine="480"/>
        <w:jc w:val="left"/>
      </w:pPr>
      <w:r>
        <w:rPr>
          <w:rFonts w:hint="eastAsia" w:ascii="宋体" w:hAnsi="宋体" w:cs="宋体"/>
          <w:szCs w:val="24"/>
          <w:lang w:bidi="ar"/>
        </w:rPr>
        <w:t>3.6  卖方对标的物的缺陷所造成的买方或第三方的人身伤害和财产损害承担全部责任。</w:t>
      </w:r>
    </w:p>
    <w:p w14:paraId="7D97A904">
      <w:pPr>
        <w:pStyle w:val="2"/>
        <w:numPr>
          <w:ilvl w:val="0"/>
          <w:numId w:val="0"/>
        </w:numPr>
      </w:pPr>
      <w:r>
        <w:rPr>
          <w:rFonts w:hint="eastAsia"/>
        </w:rPr>
        <w:t>4 包装、运输方式及费用负担</w:t>
      </w:r>
    </w:p>
    <w:p w14:paraId="3E3BFEE1">
      <w:pPr>
        <w:spacing w:beforeAutospacing="1" w:afterAutospacing="1"/>
        <w:ind w:firstLine="480"/>
        <w:jc w:val="left"/>
      </w:pPr>
      <w:r>
        <w:rPr>
          <w:rFonts w:hint="eastAsia" w:ascii="宋体" w:hAnsi="宋体" w:cs="宋体"/>
          <w:szCs w:val="24"/>
          <w:lang w:bidi="ar"/>
        </w:rPr>
        <w:t>4.1  卖方应自付费用，按照行业要求及标的物实际情况、同时应充分考虑包装箱的尺寸及重量、最终目的地的装卸设施的等情况，以适当的方式包装标的物，确保标的物无挤压损伤、性能状况完好地被运送到交货地点并交付给买方。任何因包装不良造成的标的物的损坏、性能质量下降或其他不利后果应由卖方负责。</w:t>
      </w:r>
    </w:p>
    <w:p w14:paraId="1EADE478">
      <w:pPr>
        <w:spacing w:beforeAutospacing="1" w:afterAutospacing="1"/>
        <w:ind w:firstLine="480"/>
        <w:jc w:val="left"/>
      </w:pPr>
      <w:r>
        <w:rPr>
          <w:rFonts w:hint="eastAsia" w:ascii="宋体" w:hAnsi="宋体" w:cs="宋体"/>
          <w:szCs w:val="24"/>
          <w:lang w:bidi="ar"/>
        </w:rPr>
        <w:t>4.2  双方确认，由 □买方 ☑卖方 负责标的物包装物的回收。负责回收包装物的一方应对回收的包装物作好分类、整理打包、运输等工作，并保证安全、及时地将包装物搬离本合同约定交付地点，避免对环境产生污染，并且因回收包装物所产生的一切相关费用由该方承担。</w:t>
      </w:r>
    </w:p>
    <w:p w14:paraId="10228432">
      <w:pPr>
        <w:spacing w:beforeAutospacing="1" w:afterAutospacing="1"/>
        <w:ind w:firstLine="480"/>
        <w:jc w:val="left"/>
      </w:pPr>
      <w:r>
        <w:rPr>
          <w:rFonts w:hint="eastAsia" w:ascii="宋体" w:hAnsi="宋体" w:cs="宋体"/>
          <w:szCs w:val="24"/>
          <w:lang w:bidi="ar"/>
        </w:rPr>
        <w:t>4.3  负责回收包装物的一方在包装物的回收过程中如对另一方造成任何损失或损害的，应向另一方承担全部的赔偿责任。</w:t>
      </w:r>
    </w:p>
    <w:p w14:paraId="17363946">
      <w:pPr>
        <w:spacing w:beforeAutospacing="1" w:afterAutospacing="1"/>
        <w:ind w:firstLine="480"/>
        <w:jc w:val="left"/>
      </w:pPr>
      <w:r>
        <w:rPr>
          <w:rFonts w:hint="eastAsia" w:ascii="宋体" w:hAnsi="宋体" w:cs="宋体"/>
          <w:szCs w:val="24"/>
          <w:lang w:bidi="ar"/>
        </w:rPr>
        <w:t>4.4  卖方承担全部运输、装卸、保险等费用（包括保修期内发生的运输、装卸、保险等费用）。</w:t>
      </w:r>
    </w:p>
    <w:p w14:paraId="163FF45F">
      <w:pPr>
        <w:pStyle w:val="2"/>
        <w:numPr>
          <w:ilvl w:val="0"/>
          <w:numId w:val="0"/>
        </w:numPr>
      </w:pPr>
      <w:r>
        <w:rPr>
          <w:rFonts w:hint="eastAsia"/>
        </w:rPr>
        <w:t>5 标的物的安装、调试和验收</w:t>
      </w:r>
    </w:p>
    <w:p w14:paraId="2E8E8DFF">
      <w:pPr>
        <w:spacing w:beforeAutospacing="1" w:afterAutospacing="1"/>
        <w:ind w:firstLine="480"/>
        <w:jc w:val="left"/>
      </w:pPr>
      <w:r>
        <w:rPr>
          <w:rFonts w:hint="eastAsia" w:ascii="宋体" w:hAnsi="宋体" w:cs="宋体"/>
          <w:szCs w:val="24"/>
          <w:lang w:bidi="ar"/>
        </w:rPr>
        <w:t>5.1  接收</w:t>
      </w:r>
    </w:p>
    <w:p w14:paraId="2DEA2CEE">
      <w:pPr>
        <w:spacing w:beforeAutospacing="1" w:afterAutospacing="1"/>
        <w:ind w:firstLine="480"/>
        <w:jc w:val="left"/>
      </w:pPr>
      <w:r>
        <w:rPr>
          <w:rFonts w:hint="eastAsia" w:ascii="宋体" w:hAnsi="宋体" w:cs="宋体"/>
          <w:szCs w:val="24"/>
          <w:lang w:bidi="ar"/>
        </w:rPr>
        <w:t>（1）卖方应在买方指定地点与买方代表共同清点箱数、检查外包装是否完好，并依据装箱清单，对货物查验并做记录。标的物数量及型号验收合格后，买方授权代表和卖方授权代表共同签署交货单。</w:t>
      </w:r>
    </w:p>
    <w:p w14:paraId="0BCA7045">
      <w:pPr>
        <w:spacing w:beforeAutospacing="1" w:afterAutospacing="1"/>
        <w:ind w:firstLine="480"/>
        <w:jc w:val="left"/>
      </w:pPr>
      <w:r>
        <w:rPr>
          <w:rFonts w:hint="eastAsia" w:ascii="宋体" w:hAnsi="宋体" w:cs="宋体"/>
          <w:szCs w:val="24"/>
          <w:lang w:bidi="ar"/>
        </w:rPr>
        <w:t xml:space="preserve">（2）双方同意，在交付地点的查验仅针对标的物数量及型号是否符合本合同进行，无论买方是否签收交货单，卖方仍应对箱内标的物及其质量负责。 </w:t>
      </w:r>
    </w:p>
    <w:p w14:paraId="7041B751">
      <w:pPr>
        <w:spacing w:beforeAutospacing="1" w:afterAutospacing="1"/>
        <w:ind w:firstLine="480"/>
        <w:jc w:val="left"/>
      </w:pPr>
      <w:r>
        <w:rPr>
          <w:rFonts w:hint="eastAsia" w:ascii="宋体" w:hAnsi="宋体" w:cs="宋体"/>
          <w:szCs w:val="24"/>
          <w:lang w:bidi="ar"/>
        </w:rPr>
        <w:t>5.2  安装、调试</w:t>
      </w:r>
    </w:p>
    <w:p w14:paraId="24229DBB">
      <w:pPr>
        <w:spacing w:beforeAutospacing="1" w:afterAutospacing="1"/>
        <w:ind w:firstLine="480"/>
        <w:jc w:val="left"/>
      </w:pPr>
      <w:r>
        <w:rPr>
          <w:rFonts w:hint="eastAsia" w:ascii="宋体" w:hAnsi="宋体" w:cs="宋体"/>
          <w:szCs w:val="24"/>
          <w:lang w:bidi="ar"/>
        </w:rPr>
        <w:t>（1）在标的物按照本合同约定交付完毕之后，买方应确定标的物安装和调试日期，并提前通知卖方。标的物的安装调试工作应当在【4】日内完成。</w:t>
      </w:r>
    </w:p>
    <w:p w14:paraId="5F09D9C9">
      <w:pPr>
        <w:spacing w:beforeAutospacing="1" w:afterAutospacing="1"/>
        <w:ind w:firstLine="480"/>
        <w:jc w:val="left"/>
      </w:pPr>
      <w:r>
        <w:rPr>
          <w:rFonts w:hint="eastAsia" w:ascii="宋体" w:hAnsi="宋体" w:cs="宋体"/>
          <w:szCs w:val="24"/>
          <w:lang w:bidi="ar"/>
        </w:rPr>
        <w:t>（2）安装调试前应先开箱查验标的物。在开箱查验交付标的物中如果出现：漏短装或错发货；部件损坏；标的物不符合本合同约定的，买方将做详细记录，并由买方和卖方授权代表共同签署。该记录将用作对漏短装、错发货进行补发货或对损坏部件进行更换或修理的依据。卖方负责对漏短装、错发货进行补发货或对损坏部件进行更换或修理。</w:t>
      </w:r>
    </w:p>
    <w:p w14:paraId="17F4DF78">
      <w:pPr>
        <w:spacing w:beforeAutospacing="1" w:afterAutospacing="1"/>
        <w:ind w:firstLine="480"/>
        <w:jc w:val="left"/>
      </w:pPr>
      <w:r>
        <w:rPr>
          <w:rFonts w:hint="eastAsia" w:ascii="宋体" w:hAnsi="宋体" w:cs="宋体"/>
          <w:szCs w:val="24"/>
          <w:lang w:bidi="ar"/>
        </w:rPr>
        <w:t>（3）标的物调试内容为：【合同内的硬件上架、软件安装调试】。卖方应按照买方要求的功能进行调试。如调试无法按期完成，则双方可协商确定调试期，如新期限无法达成，则按照违约责任中的逾期交货处理。</w:t>
      </w:r>
    </w:p>
    <w:p w14:paraId="282DC434">
      <w:pPr>
        <w:spacing w:beforeAutospacing="1" w:afterAutospacing="1"/>
        <w:ind w:firstLine="480"/>
        <w:jc w:val="left"/>
      </w:pPr>
      <w:r>
        <w:rPr>
          <w:rFonts w:hint="eastAsia" w:ascii="宋体" w:hAnsi="宋体" w:cs="宋体"/>
          <w:szCs w:val="24"/>
          <w:lang w:bidi="ar"/>
        </w:rPr>
        <w:t>（4）卖方应派遣技术人员完成标的物的安装调试工作。在安装调试过程中，买方技术人员应配合卖方对标的物进行安装调试。</w:t>
      </w:r>
    </w:p>
    <w:p w14:paraId="7ECCCEE9">
      <w:pPr>
        <w:spacing w:beforeAutospacing="1" w:afterAutospacing="1"/>
        <w:ind w:firstLine="480"/>
        <w:jc w:val="left"/>
      </w:pPr>
      <w:r>
        <w:rPr>
          <w:rFonts w:hint="eastAsia" w:ascii="宋体" w:hAnsi="宋体" w:cs="宋体"/>
          <w:szCs w:val="24"/>
          <w:lang w:bidi="ar"/>
        </w:rPr>
        <w:t>（5）买方应当积极协助卖方对标的物的安装调试工作，向卖方技术人员提供为履行本合同义务而合理要求的场地、设施等便利。</w:t>
      </w:r>
    </w:p>
    <w:p w14:paraId="122AC08D">
      <w:pPr>
        <w:spacing w:beforeAutospacing="1" w:afterAutospacing="1"/>
        <w:ind w:firstLine="480"/>
        <w:jc w:val="left"/>
      </w:pPr>
      <w:r>
        <w:rPr>
          <w:rFonts w:hint="eastAsia" w:ascii="宋体" w:hAnsi="宋体" w:cs="宋体"/>
          <w:szCs w:val="24"/>
          <w:lang w:bidi="ar"/>
        </w:rPr>
        <w:t>5.3  验收</w:t>
      </w:r>
    </w:p>
    <w:p w14:paraId="0D299719">
      <w:pPr>
        <w:spacing w:beforeAutospacing="1" w:afterAutospacing="1"/>
        <w:ind w:firstLine="480"/>
        <w:jc w:val="left"/>
      </w:pPr>
      <w:r>
        <w:rPr>
          <w:rFonts w:hint="eastAsia" w:ascii="宋体" w:hAnsi="宋体" w:cs="宋体"/>
          <w:szCs w:val="24"/>
          <w:lang w:bidi="ar"/>
        </w:rPr>
        <w:t>（1）标的物的安装调试完成并运行一段时间后，卖方应向买方申请对标的物进行验收。</w:t>
      </w:r>
    </w:p>
    <w:p w14:paraId="0F966490">
      <w:pPr>
        <w:spacing w:beforeAutospacing="1" w:afterAutospacing="1"/>
        <w:ind w:firstLine="480"/>
        <w:jc w:val="left"/>
      </w:pPr>
      <w:r>
        <w:rPr>
          <w:rFonts w:hint="eastAsia" w:ascii="宋体" w:hAnsi="宋体" w:cs="宋体"/>
          <w:szCs w:val="24"/>
          <w:lang w:bidi="ar"/>
        </w:rPr>
        <w:t>（2）验收按照双方在本合同中约定的检验验收程序和标的物的质量、技术标准进行验收。如果本合同中未对标的物的质量、技术标准进行约定，应参照适用国家标准、行业标准或买方指定的其他标准。标的物验收时，买方、卖方代表均应到场，进行考核验收并填写验收记录。</w:t>
      </w:r>
    </w:p>
    <w:p w14:paraId="179CB0EC">
      <w:pPr>
        <w:spacing w:beforeAutospacing="1" w:afterAutospacing="1"/>
        <w:ind w:firstLine="480"/>
        <w:jc w:val="left"/>
      </w:pPr>
      <w:r>
        <w:rPr>
          <w:rFonts w:hint="eastAsia" w:ascii="宋体" w:hAnsi="宋体" w:cs="宋体"/>
          <w:szCs w:val="24"/>
          <w:lang w:bidi="ar"/>
        </w:rPr>
        <w:t>（3）标的物经验收符合技术标准的，买方应当接受该标的物且买方和卖方应当共同签署一份标的物验收合格证书。如果标的物未能通过验收，则买方有权选择全部或部分退货或者要求卖方对标的物进行修理或部分或全部更换，并在买方要求的合理期限内重新进行验收。但重新验收的次数不得超过2次。重新验收的费用由卖方承担。</w:t>
      </w:r>
    </w:p>
    <w:p w14:paraId="713C0195">
      <w:pPr>
        <w:spacing w:beforeAutospacing="1" w:afterAutospacing="1"/>
        <w:ind w:firstLine="480"/>
        <w:jc w:val="left"/>
      </w:pPr>
      <w:r>
        <w:rPr>
          <w:rFonts w:hint="eastAsia" w:ascii="宋体" w:hAnsi="宋体" w:cs="宋体"/>
          <w:szCs w:val="24"/>
          <w:lang w:bidi="ar"/>
        </w:rPr>
        <w:t>（4）标的物经过2次重新验收后，仍不能达到验收标准的，视为无法通过验收，卖方应退还买方已支付的合同价款，并按照本合同约定承担违约责任。</w:t>
      </w:r>
    </w:p>
    <w:p w14:paraId="2615A5A5">
      <w:pPr>
        <w:spacing w:beforeAutospacing="1" w:afterAutospacing="1"/>
        <w:ind w:firstLine="480"/>
        <w:jc w:val="left"/>
      </w:pPr>
      <w:r>
        <w:rPr>
          <w:rFonts w:hint="eastAsia" w:ascii="宋体" w:hAnsi="宋体" w:cs="宋体"/>
          <w:szCs w:val="24"/>
          <w:lang w:bidi="ar"/>
        </w:rPr>
        <w:t>（5）如果由于工艺的复杂性、标的物缺陷的隐蔽性或其他买方认为正当的理由，使得买方在验收时未能查验出标的物的质量瑕疵，只要买方在验收通过后的【1年】内发现卖方提供的标的物或其配套产品与本合同约定的技术标准不符，买方仍有权要求卖方修理或更换，修理、更换的费用以及由此引起的其他费用均由卖方承担。质量保证期自修理或更换符合合同约定之标的物的次日起算。</w:t>
      </w:r>
    </w:p>
    <w:p w14:paraId="27806FCD">
      <w:pPr>
        <w:spacing w:beforeAutospacing="1" w:afterAutospacing="1"/>
        <w:ind w:firstLine="480"/>
        <w:jc w:val="left"/>
      </w:pPr>
      <w:r>
        <w:rPr>
          <w:rFonts w:hint="eastAsia" w:ascii="宋体" w:hAnsi="宋体" w:cs="宋体"/>
          <w:szCs w:val="24"/>
          <w:lang w:bidi="ar"/>
        </w:rPr>
        <w:t>（6）标的物最终验收后，卖方若发现或怀疑已交付买方的标的物及相关文件和资料存在“不合格”时应及时通知买方，并按照买方要求做出处理，以确保其有效性和正确性。</w:t>
      </w:r>
    </w:p>
    <w:p w14:paraId="054DE28B">
      <w:pPr>
        <w:pStyle w:val="2"/>
        <w:numPr>
          <w:ilvl w:val="0"/>
          <w:numId w:val="0"/>
        </w:numPr>
      </w:pPr>
      <w:r>
        <w:rPr>
          <w:rFonts w:hint="eastAsia"/>
        </w:rPr>
        <w:t>6 违约责任</w:t>
      </w:r>
    </w:p>
    <w:p w14:paraId="17F8A486">
      <w:pPr>
        <w:spacing w:beforeAutospacing="1" w:afterAutospacing="1"/>
        <w:ind w:firstLine="480"/>
        <w:jc w:val="left"/>
      </w:pPr>
      <w:r>
        <w:rPr>
          <w:rFonts w:hint="eastAsia" w:ascii="宋体" w:hAnsi="宋体" w:cs="宋体"/>
          <w:szCs w:val="24"/>
          <w:lang w:bidi="ar"/>
        </w:rPr>
        <w:t>6.1  如果买方没有按本合同规定支付价款，且经卖方书面通知仍未支付的，自卖方通知之日后第【5】日起，买方应按中国人民银行届时公布的人民币存款活期利率按日支付延迟履行违约金。</w:t>
      </w:r>
    </w:p>
    <w:p w14:paraId="38CC5ABC">
      <w:pPr>
        <w:spacing w:beforeAutospacing="1" w:afterAutospacing="1"/>
        <w:ind w:firstLine="480"/>
        <w:jc w:val="left"/>
      </w:pPr>
      <w:r>
        <w:rPr>
          <w:rFonts w:hint="eastAsia" w:ascii="宋体" w:hAnsi="宋体" w:cs="宋体"/>
          <w:szCs w:val="24"/>
          <w:lang w:bidi="ar"/>
        </w:rPr>
        <w:t>6.2  除非本合同另有约定，如果卖方在约定的时间不能交付标的物，每逾期【1】日，按合同总价款的【0.1】%向买方支付违约金；逾期达【10】日时，买方有权书面通知卖方立即解除合同，卖方应向买方退还已经收取的全部合同价款并支付相应的违约金，若违约金不能弥补买方损失的，卖方应向买方弥补该等损失。</w:t>
      </w:r>
    </w:p>
    <w:p w14:paraId="12C19EAA">
      <w:pPr>
        <w:spacing w:beforeAutospacing="1" w:afterAutospacing="1"/>
        <w:ind w:firstLine="480"/>
        <w:jc w:val="left"/>
      </w:pPr>
      <w:r>
        <w:rPr>
          <w:rFonts w:hint="eastAsia" w:ascii="宋体" w:hAnsi="宋体" w:cs="宋体"/>
          <w:szCs w:val="24"/>
          <w:lang w:bidi="ar"/>
        </w:rPr>
        <w:t>6.3  卖方交付的标的物的质量、型号或数量不符合本合同约定的，买方有权根据具体情况要求卖方修理、更换、重作、补足或退货，并要求赔偿损失。</w:t>
      </w:r>
    </w:p>
    <w:p w14:paraId="28F0945C">
      <w:pPr>
        <w:spacing w:beforeAutospacing="1" w:afterAutospacing="1"/>
        <w:ind w:firstLine="480"/>
        <w:jc w:val="left"/>
      </w:pPr>
      <w:r>
        <w:rPr>
          <w:rFonts w:hint="eastAsia" w:ascii="宋体" w:hAnsi="宋体" w:cs="宋体"/>
          <w:szCs w:val="24"/>
          <w:lang w:bidi="ar"/>
        </w:rPr>
        <w:t>6.4  发生下列情形之一的，买方有权单方解除合同，卖方应向买方退还已经收取的全部合同价款并支付合同总价款【10】%的违约金，若违约金不能弥补买方损失的，卖方仍应向买方弥补该等损失：</w:t>
      </w:r>
    </w:p>
    <w:p w14:paraId="30785488">
      <w:pPr>
        <w:spacing w:beforeAutospacing="1" w:afterAutospacing="1"/>
        <w:ind w:firstLine="480"/>
        <w:jc w:val="left"/>
      </w:pPr>
      <w:r>
        <w:rPr>
          <w:rFonts w:hint="eastAsia" w:ascii="宋体" w:hAnsi="宋体" w:cs="宋体"/>
          <w:szCs w:val="24"/>
          <w:lang w:bidi="ar"/>
        </w:rPr>
        <w:t>（1）标的物无法通过验收的；</w:t>
      </w:r>
    </w:p>
    <w:p w14:paraId="134FA759">
      <w:pPr>
        <w:spacing w:beforeAutospacing="1" w:afterAutospacing="1"/>
        <w:ind w:firstLine="480"/>
        <w:jc w:val="left"/>
      </w:pPr>
      <w:r>
        <w:rPr>
          <w:rFonts w:hint="eastAsia" w:ascii="宋体" w:hAnsi="宋体" w:cs="宋体"/>
          <w:szCs w:val="24"/>
          <w:lang w:bidi="ar"/>
        </w:rPr>
        <w:t>（2）因标的物授权问题或隐含缺陷显现导致买方无法使用或使用不畅的；</w:t>
      </w:r>
    </w:p>
    <w:p w14:paraId="71D3AED0">
      <w:pPr>
        <w:spacing w:beforeAutospacing="1" w:afterAutospacing="1"/>
        <w:ind w:firstLine="480"/>
        <w:jc w:val="left"/>
      </w:pPr>
      <w:r>
        <w:rPr>
          <w:rFonts w:hint="eastAsia" w:ascii="宋体" w:hAnsi="宋体" w:cs="宋体"/>
          <w:szCs w:val="24"/>
          <w:lang w:bidi="ar"/>
        </w:rPr>
        <w:t>（3）卖方未经买方同意，擅自将本合同标的物部分或全部转委托他人提供的；</w:t>
      </w:r>
    </w:p>
    <w:p w14:paraId="60E64537">
      <w:pPr>
        <w:spacing w:beforeAutospacing="1" w:afterAutospacing="1"/>
        <w:ind w:firstLine="480"/>
        <w:jc w:val="left"/>
      </w:pPr>
      <w:r>
        <w:rPr>
          <w:rFonts w:hint="eastAsia" w:ascii="宋体" w:hAnsi="宋体" w:cs="宋体"/>
          <w:szCs w:val="24"/>
          <w:lang w:bidi="ar"/>
        </w:rPr>
        <w:t>（4）卖方在本合同履行过程中，违反本合同约定的保密义务；</w:t>
      </w:r>
    </w:p>
    <w:p w14:paraId="7CFA3F4B">
      <w:pPr>
        <w:spacing w:beforeAutospacing="1" w:afterAutospacing="1"/>
        <w:ind w:firstLine="480"/>
        <w:jc w:val="left"/>
      </w:pPr>
      <w:r>
        <w:rPr>
          <w:rFonts w:hint="eastAsia" w:ascii="宋体" w:hAnsi="宋体" w:cs="宋体"/>
          <w:szCs w:val="24"/>
          <w:lang w:bidi="ar"/>
        </w:rPr>
        <w:t>（5）卖方违反本合同约定的附随义务，经通知拒不履行的；或其违反致使合同目的无法实现的；</w:t>
      </w:r>
    </w:p>
    <w:p w14:paraId="47513D8F">
      <w:pPr>
        <w:spacing w:beforeAutospacing="1" w:afterAutospacing="1"/>
        <w:ind w:firstLine="480"/>
        <w:jc w:val="left"/>
        <w:rPr>
          <w:rFonts w:hint="eastAsia" w:ascii="宋体" w:hAnsi="宋体"/>
          <w:lang w:bidi="ar"/>
        </w:rPr>
      </w:pPr>
      <w:r>
        <w:rPr>
          <w:rFonts w:hint="eastAsia" w:ascii="宋体" w:hAnsi="宋体" w:cs="宋体"/>
          <w:szCs w:val="24"/>
          <w:lang w:bidi="ar"/>
        </w:rPr>
        <w:t>6.5  除本合同另有约定外，如果任何一方违反其在本合同项下的任何义务、所作出的承诺和保证或者其在本合同中所作出的陈述是虚假、不真实或有误导的，即视为违约，其应赔偿另一方因该等违约而招致的全部实际损失和损害，包括但不限于另一方为减少损失支出的费用及诉讼费和合理的律师费。</w:t>
      </w:r>
      <w:bookmarkStart w:id="16" w:name="_GoBack"/>
      <w:bookmarkEnd w:id="16"/>
    </w:p>
    <w:sectPr>
      <w:headerReference r:id="rId11" w:type="default"/>
      <w:pgSz w:w="11906" w:h="16838"/>
      <w:pgMar w:top="1440" w:right="1800" w:bottom="1440" w:left="1800" w:header="1077" w:footer="992" w:gutter="0"/>
      <w:pgNumType w:start="1"/>
      <w:cols w:space="425" w:num="1"/>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9ADAB2A-9C08-4EAB-991A-1384AB326C2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2" w:fontKey="{57F181B9-FCAB-42E1-BB99-64BBEFE61DE8}"/>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embedRegular r:id="rId3" w:fontKey="{A925F28A-5008-479B-871D-A55C8DF80863}"/>
  </w:font>
  <w:font w:name="Arial">
    <w:panose1 w:val="020B0604020202020204"/>
    <w:charset w:val="00"/>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0A5500">
    <w:pPr>
      <w:pStyle w:val="20"/>
      <w:ind w:firstLine="48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4559C3">
    <w:pPr>
      <w:pStyle w:val="20"/>
      <w:ind w:firstLine="48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BBC271">
    <w:pPr>
      <w:pStyle w:val="20"/>
      <w:ind w:firstLine="48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EB2A54">
    <w:pPr>
      <w:ind w:left="480" w:firstLine="0" w:firstLineChars="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4BA304">
    <w:pPr>
      <w:pStyle w:val="21"/>
      <w:spacing w:after="120"/>
      <w:ind w:firstLine="48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047CF">
    <w:pPr>
      <w:pStyle w:val="21"/>
      <w:spacing w:after="120"/>
      <w:ind w:firstLine="48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79411858"/>
    </w:sdtPr>
    <w:sdtEndPr>
      <w:rPr>
        <w:rFonts w:ascii="宋体" w:hAnsi="宋体"/>
      </w:rPr>
    </w:sdtEndPr>
    <w:sdtContent>
      <w:p w14:paraId="328201EE">
        <w:pPr>
          <w:pStyle w:val="21"/>
          <w:spacing w:after="120" w:line="276" w:lineRule="auto"/>
          <w:ind w:firstLine="480"/>
          <w:jc w:val="right"/>
          <w:rPr>
            <w:rFonts w:hint="eastAsia" w:ascii="宋体" w:hAnsi="宋体"/>
          </w:rPr>
        </w:pPr>
        <w:r>
          <w:rPr>
            <w:rFonts w:hint="eastAsia" w:ascii="宋体" w:hAnsi="宋体"/>
            <w:lang w:val="zh-CN"/>
          </w:rPr>
          <w:t>第</w:t>
        </w:r>
        <w:r>
          <w:rPr>
            <w:rFonts w:ascii="宋体" w:hAnsi="宋体"/>
            <w:szCs w:val="24"/>
          </w:rPr>
          <w:fldChar w:fldCharType="begin"/>
        </w:r>
        <w:r>
          <w:rPr>
            <w:rFonts w:ascii="宋体" w:hAnsi="宋体"/>
          </w:rPr>
          <w:instrText xml:space="preserve">PAGE</w:instrText>
        </w:r>
        <w:r>
          <w:rPr>
            <w:rFonts w:ascii="宋体" w:hAnsi="宋体"/>
            <w:szCs w:val="24"/>
          </w:rPr>
          <w:fldChar w:fldCharType="separate"/>
        </w:r>
        <w:r>
          <w:rPr>
            <w:rFonts w:ascii="宋体" w:hAnsi="宋体"/>
            <w:lang w:val="zh-CN"/>
          </w:rPr>
          <w:t>2</w:t>
        </w:r>
        <w:r>
          <w:rPr>
            <w:rFonts w:ascii="宋体" w:hAnsi="宋体"/>
            <w:szCs w:val="24"/>
          </w:rPr>
          <w:fldChar w:fldCharType="end"/>
        </w:r>
        <w:r>
          <w:rPr>
            <w:rFonts w:hint="eastAsia" w:ascii="宋体" w:hAnsi="宋体"/>
            <w:lang w:val="zh-CN"/>
          </w:rPr>
          <w:t>页</w:t>
        </w:r>
        <w:r>
          <w:rPr>
            <w:rFonts w:ascii="宋体" w:hAnsi="宋体"/>
            <w:lang w:val="zh-CN"/>
          </w:rPr>
          <w:t xml:space="preserve"> </w:t>
        </w:r>
        <w:r>
          <w:rPr>
            <w:rFonts w:hint="eastAsia" w:ascii="宋体" w:hAnsi="宋体"/>
            <w:lang w:val="zh-CN"/>
          </w:rPr>
          <w:t>共</w:t>
        </w:r>
        <w:r>
          <w:rPr>
            <w:rFonts w:ascii="宋体" w:hAnsi="宋体"/>
            <w:szCs w:val="24"/>
          </w:rPr>
          <w:fldChar w:fldCharType="begin"/>
        </w:r>
        <w:r>
          <w:rPr>
            <w:rFonts w:ascii="宋体" w:hAnsi="宋体"/>
          </w:rPr>
          <w:instrText xml:space="preserve">NUMPAGES</w:instrText>
        </w:r>
        <w:r>
          <w:rPr>
            <w:rFonts w:ascii="宋体" w:hAnsi="宋体"/>
            <w:szCs w:val="24"/>
          </w:rPr>
          <w:fldChar w:fldCharType="separate"/>
        </w:r>
        <w:r>
          <w:rPr>
            <w:rFonts w:ascii="宋体" w:hAnsi="宋体"/>
            <w:lang w:val="zh-CN"/>
          </w:rPr>
          <w:t>2</w:t>
        </w:r>
        <w:r>
          <w:rPr>
            <w:rFonts w:ascii="宋体" w:hAnsi="宋体"/>
            <w:szCs w:val="24"/>
          </w:rPr>
          <w:fldChar w:fldCharType="end"/>
        </w:r>
        <w:r>
          <w:rPr>
            <w:rFonts w:hint="eastAsia" w:ascii="宋体" w:hAnsi="宋体"/>
            <w:szCs w:val="24"/>
          </w:rPr>
          <w:t>页</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306ED"/>
    <w:multiLevelType w:val="multilevel"/>
    <w:tmpl w:val="B5E306ED"/>
    <w:lvl w:ilvl="0" w:tentative="0">
      <w:start w:val="1"/>
      <w:numFmt w:val="decimal"/>
      <w:lvlText w:val="(%1)"/>
      <w:lvlJc w:val="left"/>
      <w:pPr>
        <w:ind w:left="425" w:hanging="425"/>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0C385F3E"/>
    <w:multiLevelType w:val="multilevel"/>
    <w:tmpl w:val="0C385F3E"/>
    <w:lvl w:ilvl="0" w:tentative="0">
      <w:start w:val="1"/>
      <w:numFmt w:val="chineseCountingThousand"/>
      <w:pStyle w:val="51"/>
      <w:lvlText w:val="第%1章"/>
      <w:lvlJc w:val="left"/>
      <w:pPr>
        <w:ind w:left="425" w:hanging="425"/>
      </w:pPr>
      <w:rPr>
        <w:rFonts w:hint="eastAsia"/>
      </w:rPr>
    </w:lvl>
    <w:lvl w:ilvl="1" w:tentative="0">
      <w:start w:val="1"/>
      <w:numFmt w:val="decimal"/>
      <w:lvlText w:val="%2."/>
      <w:lvlJc w:val="left"/>
      <w:pPr>
        <w:ind w:left="992" w:hanging="567"/>
      </w:pPr>
      <w:rPr>
        <w:rFonts w:hint="eastAsia"/>
      </w:rPr>
    </w:lvl>
    <w:lvl w:ilvl="2" w:tentative="0">
      <w:start w:val="1"/>
      <w:numFmt w:val="decimal"/>
      <w:lvlText w:val="%2.%3"/>
      <w:lvlJc w:val="left"/>
      <w:pPr>
        <w:ind w:left="1418" w:hanging="567"/>
      </w:pPr>
      <w:rPr>
        <w:rFonts w:hint="default" w:ascii="仿宋" w:hAnsi="仿宋" w:eastAsia="仿宋" w:cs="Arial"/>
      </w:rPr>
    </w:lvl>
    <w:lvl w:ilvl="3" w:tentative="0">
      <w:start w:val="1"/>
      <w:numFmt w:val="decimal"/>
      <w:lvlText w:val="%2.%3.%4"/>
      <w:lvlJc w:val="left"/>
      <w:pPr>
        <w:ind w:left="1984" w:hanging="708"/>
      </w:pPr>
      <w:rPr>
        <w:rFonts w:hint="eastAsia"/>
      </w:rPr>
    </w:lvl>
    <w:lvl w:ilvl="4" w:tentative="0">
      <w:start w:val="1"/>
      <w:numFmt w:val="decimal"/>
      <w:lvlText w:val="（%5）"/>
      <w:lvlJc w:val="left"/>
      <w:pPr>
        <w:ind w:left="2551" w:hanging="850"/>
      </w:pPr>
      <w:rPr>
        <w:rFonts w:hint="eastAsia"/>
        <w:lang w:val="en-US"/>
      </w:rPr>
    </w:lvl>
    <w:lvl w:ilvl="5" w:tentative="0">
      <w:start w:val="1"/>
      <w:numFmt w:val="decimal"/>
      <w:lvlText w:val="%2.%3.%4.%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
    <w:nsid w:val="19A20B04"/>
    <w:multiLevelType w:val="multilevel"/>
    <w:tmpl w:val="19A20B04"/>
    <w:lvl w:ilvl="0" w:tentative="0">
      <w:start w:val="1"/>
      <w:numFmt w:val="upperLetter"/>
      <w:lvlText w:val="%1."/>
      <w:lvlJc w:val="left"/>
      <w:pPr>
        <w:ind w:left="425" w:hanging="425"/>
      </w:pPr>
      <w:rPr>
        <w:rFonts w:hint="eastAsia"/>
      </w:rPr>
    </w:lvl>
    <w:lvl w:ilvl="1" w:tentative="0">
      <w:start w:val="1"/>
      <w:numFmt w:val="decimal"/>
      <w:lvlText w:val="%1.%2."/>
      <w:lvlJc w:val="left"/>
      <w:pPr>
        <w:ind w:left="567" w:hanging="567"/>
      </w:pPr>
      <w:rPr>
        <w:rFonts w:hint="eastAsia"/>
      </w:rPr>
    </w:lvl>
    <w:lvl w:ilvl="2" w:tentative="0">
      <w:start w:val="1"/>
      <w:numFmt w:val="decimal"/>
      <w:pStyle w:val="59"/>
      <w:lvlText w:val="%1.%2.%3."/>
      <w:lvlJc w:val="left"/>
      <w:pPr>
        <w:ind w:left="709" w:hanging="709"/>
      </w:pPr>
      <w:rPr>
        <w:rFonts w:hint="eastAsia"/>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3">
    <w:nsid w:val="4C5A5C99"/>
    <w:multiLevelType w:val="multilevel"/>
    <w:tmpl w:val="4C5A5C99"/>
    <w:lvl w:ilvl="0" w:tentative="0">
      <w:start w:val="1"/>
      <w:numFmt w:val="decimal"/>
      <w:lvlText w:val="%1)"/>
      <w:lvlJc w:val="left"/>
      <w:pPr>
        <w:ind w:left="1428" w:hanging="588"/>
      </w:pPr>
    </w:lvl>
    <w:lvl w:ilvl="1" w:tentative="0">
      <w:start w:val="1"/>
      <w:numFmt w:val="lowerLetter"/>
      <w:lvlText w:val="%2)"/>
      <w:lvlJc w:val="left"/>
      <w:pPr>
        <w:ind w:left="1848" w:hanging="420"/>
      </w:pPr>
    </w:lvl>
    <w:lvl w:ilvl="2" w:tentative="0">
      <w:start w:val="1"/>
      <w:numFmt w:val="lowerRoman"/>
      <w:lvlText w:val="%3."/>
      <w:lvlJc w:val="right"/>
      <w:pPr>
        <w:ind w:left="2268" w:hanging="420"/>
      </w:pPr>
    </w:lvl>
    <w:lvl w:ilvl="3" w:tentative="0">
      <w:start w:val="1"/>
      <w:numFmt w:val="decimal"/>
      <w:lvlText w:val="%4."/>
      <w:lvlJc w:val="left"/>
      <w:pPr>
        <w:ind w:left="2688" w:hanging="420"/>
      </w:pPr>
    </w:lvl>
    <w:lvl w:ilvl="4" w:tentative="0">
      <w:start w:val="1"/>
      <w:numFmt w:val="lowerLetter"/>
      <w:lvlText w:val="%5)"/>
      <w:lvlJc w:val="left"/>
      <w:pPr>
        <w:ind w:left="3108" w:hanging="420"/>
      </w:pPr>
    </w:lvl>
    <w:lvl w:ilvl="5" w:tentative="0">
      <w:start w:val="1"/>
      <w:numFmt w:val="lowerRoman"/>
      <w:lvlText w:val="%6."/>
      <w:lvlJc w:val="right"/>
      <w:pPr>
        <w:ind w:left="3528" w:hanging="420"/>
      </w:pPr>
    </w:lvl>
    <w:lvl w:ilvl="6" w:tentative="0">
      <w:start w:val="1"/>
      <w:numFmt w:val="decimal"/>
      <w:lvlText w:val="%7."/>
      <w:lvlJc w:val="left"/>
      <w:pPr>
        <w:ind w:left="3948" w:hanging="420"/>
      </w:pPr>
    </w:lvl>
    <w:lvl w:ilvl="7" w:tentative="0">
      <w:start w:val="1"/>
      <w:numFmt w:val="lowerLetter"/>
      <w:lvlText w:val="%8)"/>
      <w:lvlJc w:val="left"/>
      <w:pPr>
        <w:ind w:left="4368" w:hanging="420"/>
      </w:pPr>
    </w:lvl>
    <w:lvl w:ilvl="8" w:tentative="0">
      <w:start w:val="1"/>
      <w:numFmt w:val="lowerRoman"/>
      <w:lvlText w:val="%9."/>
      <w:lvlJc w:val="right"/>
      <w:pPr>
        <w:ind w:left="4788" w:hanging="420"/>
      </w:pPr>
    </w:lvl>
  </w:abstractNum>
  <w:abstractNum w:abstractNumId="4">
    <w:nsid w:val="59ADCABA"/>
    <w:multiLevelType w:val="multilevel"/>
    <w:tmpl w:val="59ADCABA"/>
    <w:lvl w:ilvl="0" w:tentative="0">
      <w:start w:val="1"/>
      <w:numFmt w:val="decimal"/>
      <w:lvlText w:val="%1)"/>
      <w:lvlJc w:val="left"/>
      <w:pPr>
        <w:ind w:left="900" w:hanging="588"/>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5">
    <w:nsid w:val="63D82E96"/>
    <w:multiLevelType w:val="multilevel"/>
    <w:tmpl w:val="63D82E96"/>
    <w:lvl w:ilvl="0" w:tentative="0">
      <w:start w:val="1"/>
      <w:numFmt w:val="upperLetter"/>
      <w:pStyle w:val="54"/>
      <w:lvlText w:val="附录 %1"/>
      <w:lvlJc w:val="left"/>
      <w:pPr>
        <w:ind w:left="420" w:hanging="420"/>
      </w:pPr>
      <w:rPr>
        <w:rFonts w:hint="default" w:ascii="Times New Roman" w:hAnsi="Times New Roman" w:eastAsia="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6AD2438D"/>
    <w:multiLevelType w:val="multilevel"/>
    <w:tmpl w:val="6AD2438D"/>
    <w:lvl w:ilvl="0" w:tentative="0">
      <w:start w:val="1"/>
      <w:numFmt w:val="upperLetter"/>
      <w:pStyle w:val="55"/>
      <w:lvlText w:val="%1."/>
      <w:lvlJc w:val="left"/>
      <w:pPr>
        <w:ind w:left="425" w:hanging="425"/>
      </w:pPr>
      <w:rPr>
        <w:rFonts w:hint="eastAsia"/>
      </w:rPr>
    </w:lvl>
    <w:lvl w:ilvl="1" w:tentative="0">
      <w:start w:val="1"/>
      <w:numFmt w:val="decimal"/>
      <w:lvlText w:val="%1.%2."/>
      <w:lvlJc w:val="left"/>
      <w:pPr>
        <w:ind w:left="567" w:hanging="567"/>
      </w:pPr>
      <w:rPr>
        <w:rFonts w:hint="eastAsia"/>
      </w:rPr>
    </w:lvl>
    <w:lvl w:ilvl="2" w:tentative="0">
      <w:start w:val="1"/>
      <w:numFmt w:val="decimal"/>
      <w:lvlText w:val="%1.%2.%3."/>
      <w:lvlJc w:val="left"/>
      <w:pPr>
        <w:ind w:left="709" w:hanging="709"/>
      </w:pPr>
      <w:rPr>
        <w:rFonts w:hint="eastAsia"/>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3.%4.%5.%6.%7.%8.%9."/>
      <w:lvlJc w:val="left"/>
      <w:pPr>
        <w:ind w:left="1559" w:hanging="1559"/>
      </w:pPr>
      <w:rPr>
        <w:rFonts w:hint="eastAsia"/>
      </w:rPr>
    </w:lvl>
  </w:abstractNum>
  <w:abstractNum w:abstractNumId="7">
    <w:nsid w:val="6F427502"/>
    <w:multiLevelType w:val="multilevel"/>
    <w:tmpl w:val="6F427502"/>
    <w:lvl w:ilvl="0" w:tentative="0">
      <w:start w:val="1"/>
      <w:numFmt w:val="decimal"/>
      <w:pStyle w:val="83"/>
      <w:suff w:val="nothing"/>
      <w:lvlText w:val="第%1章 "/>
      <w:lvlJc w:val="left"/>
      <w:pPr>
        <w:ind w:left="1560" w:hanging="567"/>
      </w:pPr>
      <w:rPr>
        <w:rFonts w:hint="default" w:ascii="Arial" w:hAnsi="Arial"/>
        <w:lang w:val="en-US"/>
      </w:rPr>
    </w:lvl>
    <w:lvl w:ilvl="1" w:tentative="0">
      <w:start w:val="1"/>
      <w:numFmt w:val="decimal"/>
      <w:suff w:val="nothing"/>
      <w:lvlText w:val="%1.%2. "/>
      <w:lvlJc w:val="left"/>
      <w:pPr>
        <w:ind w:left="1474" w:hanging="1474"/>
      </w:pPr>
      <w:rPr>
        <w:rFonts w:hint="default" w:ascii="Arial" w:hAnsi="Arial"/>
      </w:rPr>
    </w:lvl>
    <w:lvl w:ilvl="2" w:tentative="0">
      <w:start w:val="1"/>
      <w:numFmt w:val="decimal"/>
      <w:suff w:val="nothing"/>
      <w:lvlText w:val="%1.%2.%3. "/>
      <w:lvlJc w:val="left"/>
      <w:pPr>
        <w:ind w:left="2381" w:hanging="2381"/>
      </w:pPr>
      <w:rPr>
        <w:rFonts w:hint="default" w:ascii="Arial" w:hAnsi="Arial"/>
      </w:rPr>
    </w:lvl>
    <w:lvl w:ilvl="3" w:tentative="0">
      <w:start w:val="1"/>
      <w:numFmt w:val="decimal"/>
      <w:suff w:val="nothing"/>
      <w:lvlText w:val="%1.%2.%3.%4. "/>
      <w:lvlJc w:val="left"/>
      <w:pPr>
        <w:ind w:left="1531" w:hanging="1531"/>
      </w:pPr>
      <w:rPr>
        <w:rFonts w:hint="default" w:ascii="Arial" w:hAnsi="Arial"/>
      </w:rPr>
    </w:lvl>
    <w:lvl w:ilvl="4" w:tentative="0">
      <w:start w:val="1"/>
      <w:numFmt w:val="decimal"/>
      <w:suff w:val="nothing"/>
      <w:lvlText w:val="%1.%2.%3.%4.%5. "/>
      <w:lvlJc w:val="left"/>
      <w:pPr>
        <w:ind w:left="3799" w:hanging="3799"/>
      </w:pPr>
      <w:rPr>
        <w:rFonts w:hint="default" w:ascii="Arial" w:hAnsi="Arial"/>
      </w:rPr>
    </w:lvl>
    <w:lvl w:ilvl="5" w:tentative="0">
      <w:start w:val="1"/>
      <w:numFmt w:val="decimal"/>
      <w:suff w:val="nothing"/>
      <w:lvlText w:val="%1.%2.%3.%4.%5.%6. "/>
      <w:lvlJc w:val="left"/>
      <w:pPr>
        <w:ind w:left="4820" w:hanging="4820"/>
      </w:pPr>
      <w:rPr>
        <w:rFonts w:hint="default" w:ascii="Arial" w:hAnsi="Arial"/>
      </w:rPr>
    </w:lvl>
    <w:lvl w:ilvl="6" w:tentative="0">
      <w:start w:val="1"/>
      <w:numFmt w:val="decimal"/>
      <w:lvlText w:val="%1.%2.%3.%4.%5.%6.%7. "/>
      <w:lvlJc w:val="left"/>
      <w:pPr>
        <w:tabs>
          <w:tab w:val="left" w:pos="1276"/>
        </w:tabs>
        <w:ind w:left="1276" w:hanging="1276"/>
      </w:pPr>
      <w:rPr>
        <w:rFonts w:hint="default" w:ascii="Arial" w:hAnsi="Arial" w:cs="Arial"/>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8">
    <w:nsid w:val="7F5F46C8"/>
    <w:multiLevelType w:val="multilevel"/>
    <w:tmpl w:val="7F5F46C8"/>
    <w:lvl w:ilvl="0" w:tentative="0">
      <w:start w:val="1"/>
      <w:numFmt w:val="decimal"/>
      <w:pStyle w:val="2"/>
      <w:lvlText w:val="%1"/>
      <w:lvlJc w:val="left"/>
    </w:lvl>
    <w:lvl w:ilvl="1" w:tentative="0">
      <w:start w:val="1"/>
      <w:numFmt w:val="decimal"/>
      <w:pStyle w:val="3"/>
      <w:lvlText w:val="%1.%2"/>
      <w:lvlJc w:val="left"/>
      <w:pPr>
        <w:ind w:left="5139" w:hanging="576"/>
      </w:pPr>
    </w:lvl>
    <w:lvl w:ilvl="2" w:tentative="0">
      <w:start w:val="1"/>
      <w:numFmt w:val="decimal"/>
      <w:pStyle w:val="4"/>
      <w:lvlText w:val="%1.%2.%3"/>
      <w:lvlJc w:val="left"/>
      <w:pPr>
        <w:ind w:left="5283" w:hanging="720"/>
      </w:pPr>
      <w:rPr>
        <w:rFonts w:hint="default" w:ascii="Times New Roman" w:hAnsi="Times New Roman" w:cs="Times New Roman"/>
        <w:b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3" w:tentative="0">
      <w:start w:val="1"/>
      <w:numFmt w:val="decimal"/>
      <w:pStyle w:val="5"/>
      <w:lvlText w:val="%1.%2.%3.%4"/>
      <w:lvlJc w:val="left"/>
      <w:pPr>
        <w:ind w:left="5427" w:hanging="864"/>
      </w:pPr>
    </w:lvl>
    <w:lvl w:ilvl="4" w:tentative="0">
      <w:start w:val="1"/>
      <w:numFmt w:val="decimal"/>
      <w:pStyle w:val="6"/>
      <w:lvlText w:val="%1.%2.%3.%4.%5"/>
      <w:lvlJc w:val="left"/>
      <w:rPr>
        <w:rFonts w:cs="Times New Roman"/>
        <w:b w:val="0"/>
        <w:bCs w:val="0"/>
        <w:i w:val="0"/>
        <w:iCs w:val="0"/>
        <w:caps w:val="0"/>
        <w:smallCaps w:val="0"/>
        <w:strike w:val="0"/>
        <w:dstrike w:val="0"/>
        <w:vanish w:val="0"/>
        <w:color w:val="00000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prst="orthographicFront">
          <w14:lightRig w14:rig="threePt" w14:dir="t">
            <w14:rot w14:lat="0" w14:lon="0" w14:rev="0"/>
          </w14:lightRig>
        </w14:scene3d>
        <w14:ligatures w14:val="none"/>
        <w14:numForm w14:val="default"/>
        <w14:numSpacing w14:val="default"/>
      </w:rPr>
    </w:lvl>
    <w:lvl w:ilvl="5" w:tentative="0">
      <w:start w:val="1"/>
      <w:numFmt w:val="decimal"/>
      <w:pStyle w:val="7"/>
      <w:lvlText w:val="%1.%2.%3.%4.%5.%6"/>
      <w:lvlJc w:val="left"/>
      <w:pPr>
        <w:ind w:left="5715" w:hanging="1152"/>
      </w:pPr>
    </w:lvl>
    <w:lvl w:ilvl="6" w:tentative="0">
      <w:start w:val="1"/>
      <w:numFmt w:val="decimal"/>
      <w:pStyle w:val="8"/>
      <w:lvlText w:val="%1.%2.%3.%4.%5.%6.%7"/>
      <w:lvlJc w:val="left"/>
      <w:pPr>
        <w:ind w:left="5859" w:hanging="1296"/>
      </w:pPr>
    </w:lvl>
    <w:lvl w:ilvl="7" w:tentative="0">
      <w:start w:val="1"/>
      <w:numFmt w:val="decimal"/>
      <w:pStyle w:val="9"/>
      <w:lvlText w:val="%1.%2.%3.%4.%5.%6.%7.%8"/>
      <w:lvlJc w:val="left"/>
      <w:pPr>
        <w:ind w:left="6003" w:hanging="1440"/>
      </w:pPr>
    </w:lvl>
    <w:lvl w:ilvl="8" w:tentative="0">
      <w:start w:val="1"/>
      <w:numFmt w:val="decimal"/>
      <w:pStyle w:val="10"/>
      <w:lvlText w:val="%1.%2.%3.%4.%5.%6.%7.%8.%9"/>
      <w:lvlJc w:val="left"/>
      <w:pPr>
        <w:ind w:left="6147" w:hanging="1584"/>
      </w:pPr>
    </w:lvl>
  </w:abstractNum>
  <w:num w:numId="1">
    <w:abstractNumId w:val="8"/>
  </w:num>
  <w:num w:numId="2">
    <w:abstractNumId w:val="1"/>
  </w:num>
  <w:num w:numId="3">
    <w:abstractNumId w:val="5"/>
  </w:num>
  <w:num w:numId="4">
    <w:abstractNumId w:val="6"/>
  </w:num>
  <w:num w:numId="5">
    <w:abstractNumId w:val="2"/>
  </w:num>
  <w:num w:numId="6">
    <w:abstractNumId w:val="7"/>
  </w:num>
  <w:num w:numId="7">
    <w:abstractNumId w:val="4"/>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TrueTypeFonts/>
  <w:saveSubsetFonts/>
  <w:bordersDoNotSurroundHeader w:val="1"/>
  <w:bordersDoNotSurroundFooter w:val="1"/>
  <w:documentProtection w:enforcement="0"/>
  <w:defaultTabStop w:val="420"/>
  <w:drawingGridHorizontalSpacing w:val="120"/>
  <w:drawingGridVerticalSpacing w:val="163"/>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DE3"/>
    <w:rsid w:val="0001183E"/>
    <w:rsid w:val="000178CD"/>
    <w:rsid w:val="000342AA"/>
    <w:rsid w:val="00052F72"/>
    <w:rsid w:val="00080B21"/>
    <w:rsid w:val="00093893"/>
    <w:rsid w:val="000953DC"/>
    <w:rsid w:val="000A1324"/>
    <w:rsid w:val="000A4562"/>
    <w:rsid w:val="000B3BDB"/>
    <w:rsid w:val="000C1273"/>
    <w:rsid w:val="000E63BB"/>
    <w:rsid w:val="0010265E"/>
    <w:rsid w:val="001407BA"/>
    <w:rsid w:val="0014253A"/>
    <w:rsid w:val="00183A24"/>
    <w:rsid w:val="00185934"/>
    <w:rsid w:val="0019503C"/>
    <w:rsid w:val="001A6E30"/>
    <w:rsid w:val="001B4192"/>
    <w:rsid w:val="001D18F2"/>
    <w:rsid w:val="00241140"/>
    <w:rsid w:val="00262702"/>
    <w:rsid w:val="00263E2E"/>
    <w:rsid w:val="00280647"/>
    <w:rsid w:val="0028368A"/>
    <w:rsid w:val="00285379"/>
    <w:rsid w:val="00296AD9"/>
    <w:rsid w:val="002A6B68"/>
    <w:rsid w:val="002D7BE2"/>
    <w:rsid w:val="002E35FC"/>
    <w:rsid w:val="002F5746"/>
    <w:rsid w:val="00303C66"/>
    <w:rsid w:val="003060B2"/>
    <w:rsid w:val="00306250"/>
    <w:rsid w:val="0032195D"/>
    <w:rsid w:val="0034101B"/>
    <w:rsid w:val="00391DF5"/>
    <w:rsid w:val="00392F27"/>
    <w:rsid w:val="00394D24"/>
    <w:rsid w:val="003A2E66"/>
    <w:rsid w:val="003C7C59"/>
    <w:rsid w:val="003D328E"/>
    <w:rsid w:val="003F33F7"/>
    <w:rsid w:val="004469D4"/>
    <w:rsid w:val="00446BBE"/>
    <w:rsid w:val="00452527"/>
    <w:rsid w:val="0045783F"/>
    <w:rsid w:val="00484268"/>
    <w:rsid w:val="004862FC"/>
    <w:rsid w:val="004879BD"/>
    <w:rsid w:val="00495F50"/>
    <w:rsid w:val="004B22FD"/>
    <w:rsid w:val="004B71DE"/>
    <w:rsid w:val="004C2250"/>
    <w:rsid w:val="004D0C0C"/>
    <w:rsid w:val="00507277"/>
    <w:rsid w:val="00512D92"/>
    <w:rsid w:val="0052195B"/>
    <w:rsid w:val="00523A70"/>
    <w:rsid w:val="00534DF3"/>
    <w:rsid w:val="005557A0"/>
    <w:rsid w:val="005A23D1"/>
    <w:rsid w:val="005D054B"/>
    <w:rsid w:val="005F0B8D"/>
    <w:rsid w:val="00601D90"/>
    <w:rsid w:val="006032BF"/>
    <w:rsid w:val="00614F50"/>
    <w:rsid w:val="00622815"/>
    <w:rsid w:val="00623433"/>
    <w:rsid w:val="006314F9"/>
    <w:rsid w:val="00637209"/>
    <w:rsid w:val="00660236"/>
    <w:rsid w:val="00663451"/>
    <w:rsid w:val="00695750"/>
    <w:rsid w:val="006B4AED"/>
    <w:rsid w:val="006C3767"/>
    <w:rsid w:val="006D5855"/>
    <w:rsid w:val="006E2C0A"/>
    <w:rsid w:val="006F4F33"/>
    <w:rsid w:val="006F586D"/>
    <w:rsid w:val="00700BCF"/>
    <w:rsid w:val="007057E0"/>
    <w:rsid w:val="0070657D"/>
    <w:rsid w:val="007209C9"/>
    <w:rsid w:val="00724DF9"/>
    <w:rsid w:val="007375C8"/>
    <w:rsid w:val="00746E41"/>
    <w:rsid w:val="00752950"/>
    <w:rsid w:val="0075382A"/>
    <w:rsid w:val="007601CA"/>
    <w:rsid w:val="00762B91"/>
    <w:rsid w:val="00770D4C"/>
    <w:rsid w:val="0079364B"/>
    <w:rsid w:val="0079441C"/>
    <w:rsid w:val="007949C4"/>
    <w:rsid w:val="007C1C39"/>
    <w:rsid w:val="00812F80"/>
    <w:rsid w:val="008402F4"/>
    <w:rsid w:val="00881187"/>
    <w:rsid w:val="00881F04"/>
    <w:rsid w:val="00894D9A"/>
    <w:rsid w:val="008B6AC8"/>
    <w:rsid w:val="008B7BBA"/>
    <w:rsid w:val="008D1550"/>
    <w:rsid w:val="008D44A7"/>
    <w:rsid w:val="008E4FA6"/>
    <w:rsid w:val="008F422B"/>
    <w:rsid w:val="008F4447"/>
    <w:rsid w:val="008F4573"/>
    <w:rsid w:val="008F48F8"/>
    <w:rsid w:val="00924DBE"/>
    <w:rsid w:val="00932C5A"/>
    <w:rsid w:val="00992609"/>
    <w:rsid w:val="00993700"/>
    <w:rsid w:val="00994E33"/>
    <w:rsid w:val="009D0A43"/>
    <w:rsid w:val="009E40E4"/>
    <w:rsid w:val="009F278A"/>
    <w:rsid w:val="00A05227"/>
    <w:rsid w:val="00A109E7"/>
    <w:rsid w:val="00AA2F55"/>
    <w:rsid w:val="00AA5939"/>
    <w:rsid w:val="00AA6531"/>
    <w:rsid w:val="00AC0C5B"/>
    <w:rsid w:val="00AD599D"/>
    <w:rsid w:val="00AE0721"/>
    <w:rsid w:val="00AE445B"/>
    <w:rsid w:val="00B053B2"/>
    <w:rsid w:val="00B25E5E"/>
    <w:rsid w:val="00B449D9"/>
    <w:rsid w:val="00B500BC"/>
    <w:rsid w:val="00B50367"/>
    <w:rsid w:val="00B71256"/>
    <w:rsid w:val="00B8008D"/>
    <w:rsid w:val="00B94DE3"/>
    <w:rsid w:val="00BC0B04"/>
    <w:rsid w:val="00BF0842"/>
    <w:rsid w:val="00BF131C"/>
    <w:rsid w:val="00BF6394"/>
    <w:rsid w:val="00C019D6"/>
    <w:rsid w:val="00C1258E"/>
    <w:rsid w:val="00C378C9"/>
    <w:rsid w:val="00C43408"/>
    <w:rsid w:val="00C4407B"/>
    <w:rsid w:val="00C67A38"/>
    <w:rsid w:val="00D00C5C"/>
    <w:rsid w:val="00D02E64"/>
    <w:rsid w:val="00D06AC3"/>
    <w:rsid w:val="00D335E2"/>
    <w:rsid w:val="00D53DA6"/>
    <w:rsid w:val="00D55EC1"/>
    <w:rsid w:val="00D57A71"/>
    <w:rsid w:val="00D721E5"/>
    <w:rsid w:val="00D867CE"/>
    <w:rsid w:val="00D9076D"/>
    <w:rsid w:val="00D92F53"/>
    <w:rsid w:val="00DA424E"/>
    <w:rsid w:val="00DB40DA"/>
    <w:rsid w:val="00DE60EA"/>
    <w:rsid w:val="00DF0453"/>
    <w:rsid w:val="00DF2690"/>
    <w:rsid w:val="00DF7396"/>
    <w:rsid w:val="00E00C8F"/>
    <w:rsid w:val="00E30CF8"/>
    <w:rsid w:val="00E33F89"/>
    <w:rsid w:val="00E41BAD"/>
    <w:rsid w:val="00E42438"/>
    <w:rsid w:val="00E431F4"/>
    <w:rsid w:val="00E560F7"/>
    <w:rsid w:val="00E622D4"/>
    <w:rsid w:val="00E659F1"/>
    <w:rsid w:val="00E91865"/>
    <w:rsid w:val="00EE77A6"/>
    <w:rsid w:val="00F343BA"/>
    <w:rsid w:val="00F43885"/>
    <w:rsid w:val="00F54D38"/>
    <w:rsid w:val="00F56702"/>
    <w:rsid w:val="00F62BB1"/>
    <w:rsid w:val="00F652B0"/>
    <w:rsid w:val="00F71B1A"/>
    <w:rsid w:val="00FA4E64"/>
    <w:rsid w:val="00FB1A1C"/>
    <w:rsid w:val="00FE280D"/>
    <w:rsid w:val="115636AA"/>
    <w:rsid w:val="130B0801"/>
    <w:rsid w:val="2C785A32"/>
    <w:rsid w:val="2CD21D51"/>
    <w:rsid w:val="565A22EB"/>
    <w:rsid w:val="61A7300E"/>
    <w:rsid w:val="7CC97D39"/>
    <w:rsid w:val="7FDAB6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qFormat="1" w:unhideWhenUsed="0" w:uiPriority="39" w:semiHidden="0" w:name="toc 4"/>
    <w:lsdException w:uiPriority="39" w:name="toc 5"/>
    <w:lsdException w:uiPriority="39" w:name="toc 6"/>
    <w:lsdException w:qFormat="1" w:uiPriority="39" w:semiHidden="0"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semiHidden="0" w:name="caption"/>
    <w:lsdException w:qFormat="1" w:unhideWhenUsed="0" w:uiPriority="99" w:semiHidden="0"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qFormat="1" w:unhideWhenUsed="0" w:uiPriority="0" w:semiHidden="0"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360" w:lineRule="auto"/>
      <w:ind w:firstLine="200" w:firstLineChars="200"/>
      <w:jc w:val="both"/>
    </w:pPr>
    <w:rPr>
      <w:rFonts w:ascii="Times New Roman" w:hAnsi="Times New Roman" w:eastAsia="宋体" w:cs="Times New Roman"/>
      <w:kern w:val="2"/>
      <w:sz w:val="24"/>
      <w:szCs w:val="22"/>
      <w:lang w:val="en-US" w:eastAsia="zh-CN" w:bidi="ar-SA"/>
    </w:rPr>
  </w:style>
  <w:style w:type="paragraph" w:styleId="2">
    <w:name w:val="heading 1"/>
    <w:next w:val="1"/>
    <w:link w:val="44"/>
    <w:qFormat/>
    <w:uiPriority w:val="0"/>
    <w:pPr>
      <w:numPr>
        <w:ilvl w:val="0"/>
        <w:numId w:val="1"/>
      </w:numPr>
      <w:tabs>
        <w:tab w:val="left" w:pos="384"/>
      </w:tabs>
      <w:adjustRightInd w:val="0"/>
      <w:spacing w:before="120" w:after="120" w:line="360" w:lineRule="auto"/>
      <w:jc w:val="both"/>
      <w:textAlignment w:val="baseline"/>
      <w:outlineLvl w:val="0"/>
    </w:pPr>
    <w:rPr>
      <w:rFonts w:ascii="Times New Roman" w:hAnsi="Times New Roman" w:eastAsia="黑体" w:cs="Times New Roman"/>
      <w:sz w:val="28"/>
      <w:lang w:val="en-US" w:eastAsia="zh-CN" w:bidi="ar-SA"/>
    </w:rPr>
  </w:style>
  <w:style w:type="paragraph" w:styleId="3">
    <w:name w:val="heading 2"/>
    <w:next w:val="1"/>
    <w:link w:val="36"/>
    <w:qFormat/>
    <w:uiPriority w:val="0"/>
    <w:pPr>
      <w:numPr>
        <w:ilvl w:val="1"/>
        <w:numId w:val="1"/>
      </w:numPr>
      <w:tabs>
        <w:tab w:val="left" w:pos="480"/>
      </w:tabs>
      <w:spacing w:before="120" w:after="120" w:line="360" w:lineRule="auto"/>
      <w:jc w:val="both"/>
      <w:outlineLvl w:val="1"/>
    </w:pPr>
    <w:rPr>
      <w:rFonts w:ascii="Times New Roman" w:hAnsi="Times New Roman" w:eastAsia="黑体" w:cs="Times New Roman"/>
      <w:kern w:val="2"/>
      <w:sz w:val="24"/>
      <w:szCs w:val="32"/>
      <w:lang w:val="en-US" w:eastAsia="zh-CN" w:bidi="ar-SA"/>
    </w:rPr>
  </w:style>
  <w:style w:type="paragraph" w:styleId="4">
    <w:name w:val="heading 3"/>
    <w:next w:val="1"/>
    <w:link w:val="42"/>
    <w:qFormat/>
    <w:uiPriority w:val="0"/>
    <w:pPr>
      <w:numPr>
        <w:ilvl w:val="2"/>
        <w:numId w:val="1"/>
      </w:numPr>
      <w:tabs>
        <w:tab w:val="left" w:pos="672"/>
        <w:tab w:val="left" w:pos="720"/>
      </w:tabs>
      <w:spacing w:before="120" w:after="120" w:line="360" w:lineRule="auto"/>
      <w:ind w:left="0" w:firstLine="0"/>
      <w:jc w:val="both"/>
      <w:outlineLvl w:val="2"/>
    </w:pPr>
    <w:rPr>
      <w:rFonts w:ascii="Times New Roman" w:hAnsi="Times New Roman" w:eastAsia="黑体" w:cs="Times New Roman"/>
      <w:bCs/>
      <w:kern w:val="2"/>
      <w:sz w:val="24"/>
      <w:szCs w:val="32"/>
      <w:lang w:val="en-US" w:eastAsia="zh-CN" w:bidi="ar-SA"/>
    </w:rPr>
  </w:style>
  <w:style w:type="paragraph" w:styleId="5">
    <w:name w:val="heading 4"/>
    <w:next w:val="1"/>
    <w:link w:val="43"/>
    <w:qFormat/>
    <w:uiPriority w:val="0"/>
    <w:pPr>
      <w:numPr>
        <w:ilvl w:val="3"/>
        <w:numId w:val="1"/>
      </w:numPr>
      <w:tabs>
        <w:tab w:val="left" w:pos="840"/>
      </w:tabs>
      <w:spacing w:line="360" w:lineRule="auto"/>
      <w:jc w:val="both"/>
      <w:outlineLvl w:val="3"/>
    </w:pPr>
    <w:rPr>
      <w:rFonts w:ascii="Times New Roman" w:hAnsi="Times New Roman" w:eastAsia="黑体" w:cs="Times New Roman"/>
      <w:bCs/>
      <w:kern w:val="2"/>
      <w:sz w:val="24"/>
      <w:szCs w:val="22"/>
      <w:lang w:val="en-US" w:eastAsia="zh-CN" w:bidi="ar-SA"/>
    </w:rPr>
  </w:style>
  <w:style w:type="paragraph" w:styleId="6">
    <w:name w:val="heading 5"/>
    <w:next w:val="1"/>
    <w:link w:val="45"/>
    <w:qFormat/>
    <w:uiPriority w:val="0"/>
    <w:pPr>
      <w:numPr>
        <w:ilvl w:val="4"/>
        <w:numId w:val="1"/>
      </w:numPr>
      <w:tabs>
        <w:tab w:val="left" w:pos="1032"/>
      </w:tabs>
      <w:spacing w:line="360" w:lineRule="auto"/>
      <w:jc w:val="both"/>
      <w:outlineLvl w:val="4"/>
    </w:pPr>
    <w:rPr>
      <w:rFonts w:ascii="Times New Roman" w:hAnsi="Times New Roman" w:eastAsia="黑体" w:cs="Times New Roman"/>
      <w:bCs/>
      <w:kern w:val="2"/>
      <w:sz w:val="24"/>
      <w:szCs w:val="22"/>
      <w:lang w:val="en-US" w:eastAsia="zh-CN" w:bidi="ar-SA"/>
    </w:rPr>
  </w:style>
  <w:style w:type="paragraph" w:styleId="7">
    <w:name w:val="heading 6"/>
    <w:next w:val="1"/>
    <w:link w:val="46"/>
    <w:qFormat/>
    <w:uiPriority w:val="0"/>
    <w:pPr>
      <w:numPr>
        <w:ilvl w:val="5"/>
        <w:numId w:val="1"/>
      </w:numPr>
      <w:tabs>
        <w:tab w:val="left" w:pos="1200"/>
      </w:tabs>
      <w:spacing w:line="360" w:lineRule="auto"/>
      <w:jc w:val="both"/>
      <w:outlineLvl w:val="5"/>
    </w:pPr>
    <w:rPr>
      <w:rFonts w:ascii="Times New Roman" w:hAnsi="Times New Roman" w:eastAsia="黑体" w:cs="Times New Roman"/>
      <w:bCs/>
      <w:kern w:val="2"/>
      <w:sz w:val="24"/>
      <w:szCs w:val="22"/>
      <w:lang w:val="en-US" w:eastAsia="zh-CN" w:bidi="ar-SA"/>
    </w:rPr>
  </w:style>
  <w:style w:type="paragraph" w:styleId="8">
    <w:name w:val="heading 7"/>
    <w:next w:val="1"/>
    <w:link w:val="47"/>
    <w:qFormat/>
    <w:uiPriority w:val="0"/>
    <w:pPr>
      <w:numPr>
        <w:ilvl w:val="6"/>
        <w:numId w:val="1"/>
      </w:numPr>
      <w:tabs>
        <w:tab w:val="left" w:pos="1344"/>
      </w:tabs>
      <w:spacing w:line="360" w:lineRule="auto"/>
      <w:jc w:val="both"/>
      <w:outlineLvl w:val="6"/>
    </w:pPr>
    <w:rPr>
      <w:rFonts w:ascii="Times New Roman" w:hAnsi="Times New Roman" w:eastAsia="黑体" w:cs="Times New Roman"/>
      <w:bCs/>
      <w:kern w:val="2"/>
      <w:sz w:val="24"/>
      <w:szCs w:val="22"/>
      <w:lang w:val="en-US" w:eastAsia="zh-CN" w:bidi="ar-SA"/>
    </w:rPr>
  </w:style>
  <w:style w:type="paragraph" w:styleId="9">
    <w:name w:val="heading 8"/>
    <w:next w:val="1"/>
    <w:link w:val="48"/>
    <w:qFormat/>
    <w:uiPriority w:val="0"/>
    <w:pPr>
      <w:numPr>
        <w:ilvl w:val="7"/>
        <w:numId w:val="1"/>
      </w:numPr>
      <w:tabs>
        <w:tab w:val="left" w:pos="1536"/>
      </w:tabs>
      <w:spacing w:line="360" w:lineRule="auto"/>
      <w:jc w:val="both"/>
      <w:outlineLvl w:val="7"/>
    </w:pPr>
    <w:rPr>
      <w:rFonts w:ascii="Times New Roman" w:hAnsi="Times New Roman" w:eastAsia="黑体" w:cs="Times New Roman"/>
      <w:kern w:val="2"/>
      <w:sz w:val="24"/>
      <w:szCs w:val="22"/>
      <w:lang w:val="en-US" w:eastAsia="zh-CN" w:bidi="ar-SA"/>
    </w:rPr>
  </w:style>
  <w:style w:type="paragraph" w:styleId="10">
    <w:name w:val="heading 9"/>
    <w:next w:val="1"/>
    <w:link w:val="49"/>
    <w:qFormat/>
    <w:uiPriority w:val="0"/>
    <w:pPr>
      <w:numPr>
        <w:ilvl w:val="8"/>
        <w:numId w:val="1"/>
      </w:numPr>
      <w:tabs>
        <w:tab w:val="left" w:pos="1728"/>
      </w:tabs>
      <w:adjustRightInd w:val="0"/>
      <w:snapToGrid w:val="0"/>
      <w:spacing w:line="360" w:lineRule="auto"/>
      <w:jc w:val="both"/>
      <w:outlineLvl w:val="8"/>
    </w:pPr>
    <w:rPr>
      <w:rFonts w:ascii="Times New Roman" w:hAnsi="Times New Roman" w:eastAsia="黑体" w:cs="Times New Roman"/>
      <w:kern w:val="2"/>
      <w:sz w:val="24"/>
      <w:szCs w:val="22"/>
      <w:lang w:val="en-US" w:eastAsia="zh-CN" w:bidi="ar-SA"/>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ind w:left="2520" w:leftChars="1200"/>
    </w:pPr>
  </w:style>
  <w:style w:type="paragraph" w:styleId="12">
    <w:name w:val="Normal Indent"/>
    <w:next w:val="1"/>
    <w:link w:val="80"/>
    <w:qFormat/>
    <w:uiPriority w:val="0"/>
    <w:pPr>
      <w:spacing w:line="360" w:lineRule="auto"/>
    </w:pPr>
    <w:rPr>
      <w:rFonts w:ascii="Times New Roman" w:hAnsi="Times New Roman" w:eastAsia="宋体" w:cs="Times New Roman"/>
      <w:kern w:val="24"/>
      <w:sz w:val="21"/>
      <w:lang w:val="en-US" w:eastAsia="zh-CN" w:bidi="ar-SA"/>
    </w:rPr>
  </w:style>
  <w:style w:type="paragraph" w:styleId="13">
    <w:name w:val="caption"/>
    <w:next w:val="1"/>
    <w:unhideWhenUsed/>
    <w:qFormat/>
    <w:uiPriority w:val="35"/>
    <w:pPr>
      <w:spacing w:line="360" w:lineRule="auto"/>
      <w:jc w:val="center"/>
    </w:pPr>
    <w:rPr>
      <w:rFonts w:ascii="Times New Roman" w:hAnsi="Times New Roman" w:eastAsia="黑体" w:cs="Times New Roman"/>
      <w:kern w:val="2"/>
      <w:sz w:val="21"/>
      <w:lang w:val="en-US" w:eastAsia="zh-CN" w:bidi="ar-SA"/>
    </w:rPr>
  </w:style>
  <w:style w:type="paragraph" w:styleId="14">
    <w:name w:val="Document Map"/>
    <w:basedOn w:val="1"/>
    <w:link w:val="70"/>
    <w:unhideWhenUsed/>
    <w:qFormat/>
    <w:uiPriority w:val="99"/>
    <w:rPr>
      <w:rFonts w:ascii="宋体"/>
      <w:sz w:val="18"/>
      <w:szCs w:val="18"/>
    </w:rPr>
  </w:style>
  <w:style w:type="paragraph" w:styleId="15">
    <w:name w:val="annotation text"/>
    <w:basedOn w:val="1"/>
    <w:link w:val="64"/>
    <w:unhideWhenUsed/>
    <w:qFormat/>
    <w:uiPriority w:val="99"/>
    <w:pPr>
      <w:jc w:val="left"/>
    </w:pPr>
  </w:style>
  <w:style w:type="paragraph" w:styleId="16">
    <w:name w:val="toc 3"/>
    <w:basedOn w:val="1"/>
    <w:next w:val="1"/>
    <w:unhideWhenUsed/>
    <w:qFormat/>
    <w:uiPriority w:val="39"/>
    <w:pPr>
      <w:tabs>
        <w:tab w:val="left" w:pos="1276"/>
        <w:tab w:val="right" w:leader="dot" w:pos="9060"/>
      </w:tabs>
      <w:ind w:left="720" w:leftChars="300" w:firstLine="0" w:firstLineChars="0"/>
    </w:pPr>
    <w:rPr>
      <w:sz w:val="21"/>
    </w:rPr>
  </w:style>
  <w:style w:type="paragraph" w:styleId="17">
    <w:name w:val="List Number 4"/>
    <w:basedOn w:val="1"/>
    <w:qFormat/>
    <w:uiPriority w:val="0"/>
    <w:pPr>
      <w:widowControl/>
      <w:tabs>
        <w:tab w:val="left" w:pos="1620"/>
      </w:tabs>
      <w:spacing w:after="200" w:line="252" w:lineRule="auto"/>
      <w:ind w:left="1620" w:leftChars="600" w:hanging="360" w:hangingChars="200"/>
    </w:pPr>
    <w:rPr>
      <w:rFonts w:ascii="Cambria" w:hAnsi="Cambria"/>
      <w:kern w:val="0"/>
      <w:sz w:val="22"/>
      <w:lang w:eastAsia="en-US" w:bidi="en-US"/>
    </w:rPr>
  </w:style>
  <w:style w:type="paragraph" w:styleId="18">
    <w:name w:val="endnote text"/>
    <w:basedOn w:val="1"/>
    <w:link w:val="68"/>
    <w:qFormat/>
    <w:uiPriority w:val="0"/>
    <w:pPr>
      <w:jc w:val="left"/>
    </w:pPr>
  </w:style>
  <w:style w:type="paragraph" w:styleId="19">
    <w:name w:val="Balloon Text"/>
    <w:basedOn w:val="1"/>
    <w:link w:val="63"/>
    <w:unhideWhenUsed/>
    <w:qFormat/>
    <w:uiPriority w:val="99"/>
    <w:rPr>
      <w:sz w:val="18"/>
      <w:szCs w:val="18"/>
    </w:rPr>
  </w:style>
  <w:style w:type="paragraph" w:styleId="20">
    <w:name w:val="footer"/>
    <w:basedOn w:val="1"/>
    <w:link w:val="71"/>
    <w:qFormat/>
    <w:uiPriority w:val="99"/>
    <w:pPr>
      <w:tabs>
        <w:tab w:val="center" w:pos="4153"/>
        <w:tab w:val="right" w:pos="8306"/>
      </w:tabs>
      <w:jc w:val="left"/>
    </w:pPr>
    <w:rPr>
      <w:szCs w:val="18"/>
    </w:rPr>
  </w:style>
  <w:style w:type="paragraph" w:styleId="21">
    <w:name w:val="header"/>
    <w:basedOn w:val="1"/>
    <w:link w:val="74"/>
    <w:qFormat/>
    <w:uiPriority w:val="99"/>
    <w:pPr>
      <w:pBdr>
        <w:bottom w:val="single" w:color="auto" w:sz="6" w:space="1"/>
      </w:pBdr>
      <w:tabs>
        <w:tab w:val="center" w:pos="4153"/>
        <w:tab w:val="right" w:pos="8306"/>
      </w:tabs>
      <w:spacing w:afterLines="50"/>
      <w:jc w:val="center"/>
    </w:pPr>
    <w:rPr>
      <w:szCs w:val="18"/>
    </w:rPr>
  </w:style>
  <w:style w:type="paragraph" w:styleId="22">
    <w:name w:val="toc 1"/>
    <w:basedOn w:val="1"/>
    <w:next w:val="1"/>
    <w:qFormat/>
    <w:uiPriority w:val="39"/>
    <w:pPr>
      <w:tabs>
        <w:tab w:val="left" w:pos="284"/>
        <w:tab w:val="right" w:leader="dot" w:pos="9060"/>
      </w:tabs>
      <w:ind w:firstLine="0" w:firstLineChars="0"/>
      <w:jc w:val="left"/>
    </w:pPr>
    <w:rPr>
      <w:rFonts w:ascii="宋体" w:hAnsi="宋体" w:eastAsiaTheme="minorEastAsia"/>
      <w:b/>
      <w:bCs/>
      <w:szCs w:val="24"/>
    </w:rPr>
  </w:style>
  <w:style w:type="paragraph" w:styleId="23">
    <w:name w:val="toc 4"/>
    <w:basedOn w:val="1"/>
    <w:next w:val="1"/>
    <w:qFormat/>
    <w:uiPriority w:val="39"/>
    <w:pPr>
      <w:ind w:left="1260" w:leftChars="600"/>
    </w:pPr>
  </w:style>
  <w:style w:type="paragraph" w:styleId="24">
    <w:name w:val="Subtitle"/>
    <w:basedOn w:val="1"/>
    <w:next w:val="1"/>
    <w:link w:val="60"/>
    <w:qFormat/>
    <w:uiPriority w:val="11"/>
    <w:pPr>
      <w:spacing w:before="240" w:after="60" w:line="312" w:lineRule="auto"/>
      <w:jc w:val="center"/>
      <w:outlineLvl w:val="1"/>
    </w:pPr>
    <w:rPr>
      <w:rFonts w:ascii="Cambria" w:hAnsi="Cambria"/>
      <w:b/>
      <w:bCs/>
      <w:kern w:val="28"/>
      <w:sz w:val="32"/>
      <w:szCs w:val="32"/>
    </w:rPr>
  </w:style>
  <w:style w:type="paragraph" w:styleId="25">
    <w:name w:val="table of figures"/>
    <w:basedOn w:val="1"/>
    <w:next w:val="1"/>
    <w:qFormat/>
    <w:uiPriority w:val="99"/>
    <w:pPr>
      <w:tabs>
        <w:tab w:val="right" w:leader="dot" w:pos="9060"/>
      </w:tabs>
      <w:spacing w:line="300" w:lineRule="auto"/>
    </w:pPr>
    <w:rPr>
      <w:smallCaps/>
    </w:rPr>
  </w:style>
  <w:style w:type="paragraph" w:styleId="26">
    <w:name w:val="toc 2"/>
    <w:basedOn w:val="1"/>
    <w:next w:val="1"/>
    <w:qFormat/>
    <w:uiPriority w:val="39"/>
    <w:pPr>
      <w:tabs>
        <w:tab w:val="left" w:pos="709"/>
        <w:tab w:val="right" w:leader="dot" w:pos="9060"/>
      </w:tabs>
      <w:ind w:left="240" w:leftChars="100" w:firstLine="72" w:firstLineChars="30"/>
    </w:pPr>
    <w:rPr>
      <w:rFonts w:asciiTheme="minorHAnsi" w:hAnsiTheme="minorHAnsi" w:eastAsiaTheme="minorEastAsia" w:cstheme="minorBidi"/>
      <w:sz w:val="21"/>
    </w:rPr>
  </w:style>
  <w:style w:type="paragraph" w:styleId="27">
    <w:name w:val="Title"/>
    <w:basedOn w:val="1"/>
    <w:next w:val="1"/>
    <w:link w:val="50"/>
    <w:qFormat/>
    <w:uiPriority w:val="0"/>
    <w:pPr>
      <w:spacing w:before="240" w:after="60"/>
      <w:ind w:firstLine="0" w:firstLineChars="0"/>
      <w:jc w:val="left"/>
      <w:outlineLvl w:val="0"/>
    </w:pPr>
    <w:rPr>
      <w:rFonts w:eastAsia="黑体" w:asciiTheme="majorHAnsi" w:hAnsiTheme="majorHAnsi" w:cstheme="majorBidi"/>
      <w:bCs/>
      <w:szCs w:val="32"/>
    </w:rPr>
  </w:style>
  <w:style w:type="paragraph" w:styleId="28">
    <w:name w:val="annotation subject"/>
    <w:basedOn w:val="15"/>
    <w:next w:val="15"/>
    <w:link w:val="65"/>
    <w:unhideWhenUsed/>
    <w:qFormat/>
    <w:uiPriority w:val="99"/>
    <w:rPr>
      <w:b/>
      <w:bCs/>
    </w:rPr>
  </w:style>
  <w:style w:type="table" w:styleId="30">
    <w:name w:val="Table Grid"/>
    <w:basedOn w:val="29"/>
    <w:qFormat/>
    <w:uiPriority w:val="39"/>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2">
    <w:name w:val="endnote reference"/>
    <w:basedOn w:val="31"/>
    <w:qFormat/>
    <w:uiPriority w:val="0"/>
    <w:rPr>
      <w:vertAlign w:val="superscript"/>
    </w:rPr>
  </w:style>
  <w:style w:type="character" w:styleId="33">
    <w:name w:val="page number"/>
    <w:qFormat/>
    <w:uiPriority w:val="0"/>
    <w:rPr>
      <w:rFonts w:eastAsia="宋体"/>
      <w:sz w:val="21"/>
    </w:rPr>
  </w:style>
  <w:style w:type="character" w:styleId="34">
    <w:name w:val="Hyperlink"/>
    <w:qFormat/>
    <w:uiPriority w:val="99"/>
    <w:rPr>
      <w:rFonts w:ascii="Times New Roman" w:hAnsi="Times New Roman" w:eastAsia="宋体"/>
      <w:color w:val="0000FF"/>
      <w:u w:val="single"/>
    </w:rPr>
  </w:style>
  <w:style w:type="character" w:styleId="35">
    <w:name w:val="annotation reference"/>
    <w:unhideWhenUsed/>
    <w:qFormat/>
    <w:uiPriority w:val="99"/>
    <w:rPr>
      <w:sz w:val="21"/>
      <w:szCs w:val="21"/>
    </w:rPr>
  </w:style>
  <w:style w:type="character" w:customStyle="1" w:styleId="36">
    <w:name w:val="标题 2 字符"/>
    <w:link w:val="3"/>
    <w:qFormat/>
    <w:uiPriority w:val="0"/>
    <w:rPr>
      <w:rFonts w:ascii="Times New Roman" w:hAnsi="Times New Roman" w:eastAsia="黑体" w:cs="Times New Roman"/>
      <w:sz w:val="24"/>
      <w:szCs w:val="32"/>
    </w:rPr>
  </w:style>
  <w:style w:type="paragraph" w:customStyle="1" w:styleId="37">
    <w:name w:val="TOC 标题1"/>
    <w:basedOn w:val="2"/>
    <w:next w:val="1"/>
    <w:unhideWhenUsed/>
    <w:qFormat/>
    <w:uiPriority w:val="39"/>
    <w:pPr>
      <w:keepNext/>
      <w:keepLines/>
      <w:numPr>
        <w:numId w:val="0"/>
      </w:numPr>
      <w:adjustRightInd/>
      <w:spacing w:before="340" w:after="330" w:line="578" w:lineRule="auto"/>
      <w:jc w:val="center"/>
      <w:textAlignment w:val="auto"/>
      <w:outlineLvl w:val="9"/>
    </w:pPr>
    <w:rPr>
      <w:bCs/>
      <w:kern w:val="24"/>
      <w:sz w:val="30"/>
      <w:szCs w:val="44"/>
    </w:rPr>
  </w:style>
  <w:style w:type="paragraph" w:customStyle="1" w:styleId="38">
    <w:name w:val="WPSOffice手动目录 1"/>
    <w:qFormat/>
    <w:uiPriority w:val="0"/>
    <w:rPr>
      <w:rFonts w:asciiTheme="minorHAnsi" w:hAnsiTheme="minorHAnsi" w:eastAsiaTheme="minorEastAsia" w:cstheme="minorBidi"/>
      <w:lang w:val="en-US" w:eastAsia="zh-CN" w:bidi="ar-SA"/>
    </w:rPr>
  </w:style>
  <w:style w:type="paragraph" w:customStyle="1" w:styleId="39">
    <w:name w:val="WPSOffice手动目录 2"/>
    <w:qFormat/>
    <w:uiPriority w:val="0"/>
    <w:pPr>
      <w:ind w:left="200" w:leftChars="200"/>
    </w:pPr>
    <w:rPr>
      <w:rFonts w:asciiTheme="minorHAnsi" w:hAnsiTheme="minorHAnsi" w:eastAsiaTheme="minorEastAsia" w:cstheme="minorBidi"/>
      <w:lang w:val="en-US" w:eastAsia="zh-CN" w:bidi="ar-SA"/>
    </w:rPr>
  </w:style>
  <w:style w:type="paragraph" w:customStyle="1" w:styleId="40">
    <w:name w:val="WPSOffice手动目录 3"/>
    <w:qFormat/>
    <w:uiPriority w:val="0"/>
    <w:pPr>
      <w:ind w:left="400" w:leftChars="400"/>
    </w:pPr>
    <w:rPr>
      <w:rFonts w:asciiTheme="minorHAnsi" w:hAnsiTheme="minorHAnsi" w:eastAsiaTheme="minorEastAsia" w:cstheme="minorBidi"/>
      <w:lang w:val="en-US" w:eastAsia="zh-CN" w:bidi="ar-SA"/>
    </w:rPr>
  </w:style>
  <w:style w:type="paragraph" w:customStyle="1" w:styleId="41">
    <w:name w:val="_"/>
    <w:basedOn w:val="1"/>
    <w:qFormat/>
    <w:uiPriority w:val="0"/>
    <w:pPr>
      <w:ind w:left="480"/>
      <w:textAlignment w:val="baseline"/>
    </w:pPr>
    <w:rPr>
      <w:kern w:val="0"/>
      <w:szCs w:val="20"/>
    </w:rPr>
  </w:style>
  <w:style w:type="character" w:customStyle="1" w:styleId="42">
    <w:name w:val="标题 3 字符"/>
    <w:link w:val="4"/>
    <w:qFormat/>
    <w:uiPriority w:val="0"/>
    <w:rPr>
      <w:rFonts w:ascii="Times New Roman" w:hAnsi="Times New Roman" w:eastAsia="黑体" w:cs="Times New Roman"/>
      <w:bCs/>
      <w:sz w:val="24"/>
      <w:szCs w:val="32"/>
    </w:rPr>
  </w:style>
  <w:style w:type="character" w:customStyle="1" w:styleId="43">
    <w:name w:val="标题 4 字符"/>
    <w:link w:val="5"/>
    <w:qFormat/>
    <w:uiPriority w:val="0"/>
    <w:rPr>
      <w:rFonts w:ascii="Times New Roman" w:hAnsi="Times New Roman" w:eastAsia="黑体" w:cs="Times New Roman"/>
      <w:bCs/>
      <w:sz w:val="24"/>
    </w:rPr>
  </w:style>
  <w:style w:type="character" w:customStyle="1" w:styleId="44">
    <w:name w:val="标题 1 字符"/>
    <w:link w:val="2"/>
    <w:qFormat/>
    <w:uiPriority w:val="0"/>
    <w:rPr>
      <w:rFonts w:ascii="Times New Roman" w:hAnsi="Times New Roman" w:eastAsia="黑体" w:cs="Times New Roman"/>
      <w:kern w:val="0"/>
      <w:sz w:val="28"/>
      <w:szCs w:val="20"/>
    </w:rPr>
  </w:style>
  <w:style w:type="character" w:customStyle="1" w:styleId="45">
    <w:name w:val="标题 5 字符"/>
    <w:link w:val="6"/>
    <w:qFormat/>
    <w:uiPriority w:val="0"/>
    <w:rPr>
      <w:rFonts w:ascii="Times New Roman" w:hAnsi="Times New Roman" w:eastAsia="黑体" w:cs="Times New Roman"/>
      <w:bCs/>
      <w:sz w:val="24"/>
    </w:rPr>
  </w:style>
  <w:style w:type="character" w:customStyle="1" w:styleId="46">
    <w:name w:val="标题 6 字符"/>
    <w:link w:val="7"/>
    <w:qFormat/>
    <w:uiPriority w:val="0"/>
    <w:rPr>
      <w:rFonts w:ascii="Times New Roman" w:hAnsi="Times New Roman" w:eastAsia="黑体" w:cs="Times New Roman"/>
      <w:bCs/>
      <w:sz w:val="24"/>
    </w:rPr>
  </w:style>
  <w:style w:type="character" w:customStyle="1" w:styleId="47">
    <w:name w:val="标题 7 字符"/>
    <w:link w:val="8"/>
    <w:qFormat/>
    <w:uiPriority w:val="0"/>
    <w:rPr>
      <w:rFonts w:ascii="Times New Roman" w:hAnsi="Times New Roman" w:eastAsia="黑体" w:cs="Times New Roman"/>
      <w:bCs/>
      <w:sz w:val="24"/>
    </w:rPr>
  </w:style>
  <w:style w:type="character" w:customStyle="1" w:styleId="48">
    <w:name w:val="标题 8 字符"/>
    <w:link w:val="9"/>
    <w:qFormat/>
    <w:uiPriority w:val="0"/>
    <w:rPr>
      <w:rFonts w:ascii="Times New Roman" w:hAnsi="Times New Roman" w:eastAsia="黑体" w:cs="Times New Roman"/>
      <w:sz w:val="24"/>
    </w:rPr>
  </w:style>
  <w:style w:type="character" w:customStyle="1" w:styleId="49">
    <w:name w:val="标题 9 字符"/>
    <w:link w:val="10"/>
    <w:qFormat/>
    <w:uiPriority w:val="0"/>
    <w:rPr>
      <w:rFonts w:ascii="Times New Roman" w:hAnsi="Times New Roman" w:eastAsia="黑体" w:cs="Times New Roman"/>
      <w:sz w:val="24"/>
    </w:rPr>
  </w:style>
  <w:style w:type="character" w:customStyle="1" w:styleId="50">
    <w:name w:val="标题 字符"/>
    <w:basedOn w:val="31"/>
    <w:link w:val="27"/>
    <w:qFormat/>
    <w:uiPriority w:val="0"/>
    <w:rPr>
      <w:rFonts w:eastAsia="黑体" w:asciiTheme="majorHAnsi" w:hAnsiTheme="majorHAnsi" w:cstheme="majorBidi"/>
      <w:bCs/>
      <w:sz w:val="24"/>
      <w:szCs w:val="32"/>
    </w:rPr>
  </w:style>
  <w:style w:type="paragraph" w:customStyle="1" w:styleId="51">
    <w:name w:val="标准文件_正文表标题"/>
    <w:next w:val="1"/>
    <w:qFormat/>
    <w:uiPriority w:val="0"/>
    <w:pPr>
      <w:numPr>
        <w:ilvl w:val="0"/>
        <w:numId w:val="2"/>
      </w:numPr>
      <w:tabs>
        <w:tab w:val="left" w:pos="0"/>
      </w:tabs>
      <w:spacing w:line="360" w:lineRule="auto"/>
      <w:jc w:val="center"/>
    </w:pPr>
    <w:rPr>
      <w:rFonts w:ascii="Times New Roman" w:hAnsi="Times New Roman" w:eastAsia="宋体" w:cs="Arial"/>
      <w:sz w:val="24"/>
      <w:szCs w:val="64"/>
      <w:lang w:val="en-US" w:eastAsia="zh-CN" w:bidi="ar-SA"/>
    </w:rPr>
  </w:style>
  <w:style w:type="paragraph" w:customStyle="1" w:styleId="52">
    <w:name w:val="表注"/>
    <w:next w:val="1"/>
    <w:qFormat/>
    <w:uiPriority w:val="0"/>
    <w:pPr>
      <w:keepNext/>
      <w:spacing w:before="120" w:line="360" w:lineRule="auto"/>
      <w:jc w:val="center"/>
    </w:pPr>
    <w:rPr>
      <w:rFonts w:ascii="Times New Roman" w:hAnsi="Times New Roman" w:eastAsia="黑体" w:cs="Times New Roman"/>
      <w:kern w:val="2"/>
      <w:sz w:val="21"/>
      <w:lang w:val="en-US" w:eastAsia="zh-CN" w:bidi="ar-SA"/>
    </w:rPr>
  </w:style>
  <w:style w:type="paragraph" w:customStyle="1" w:styleId="53">
    <w:name w:val="彩色列表 - 强调文字颜色 11"/>
    <w:basedOn w:val="1"/>
    <w:qFormat/>
    <w:uiPriority w:val="34"/>
  </w:style>
  <w:style w:type="paragraph" w:customStyle="1" w:styleId="54">
    <w:name w:val="附录"/>
    <w:basedOn w:val="1"/>
    <w:next w:val="1"/>
    <w:qFormat/>
    <w:uiPriority w:val="0"/>
    <w:pPr>
      <w:numPr>
        <w:ilvl w:val="0"/>
        <w:numId w:val="3"/>
      </w:numPr>
      <w:jc w:val="center"/>
      <w:outlineLvl w:val="0"/>
    </w:pPr>
    <w:rPr>
      <w:rFonts w:eastAsia="黑体"/>
      <w:sz w:val="30"/>
      <w:szCs w:val="30"/>
    </w:rPr>
  </w:style>
  <w:style w:type="paragraph" w:customStyle="1" w:styleId="55">
    <w:name w:val="附录1级"/>
    <w:basedOn w:val="1"/>
    <w:link w:val="56"/>
    <w:qFormat/>
    <w:uiPriority w:val="0"/>
    <w:pPr>
      <w:numPr>
        <w:ilvl w:val="0"/>
        <w:numId w:val="4"/>
      </w:numPr>
    </w:pPr>
    <w:rPr>
      <w:rFonts w:ascii="宋体" w:hAnsi="宋体"/>
    </w:rPr>
  </w:style>
  <w:style w:type="character" w:customStyle="1" w:styleId="56">
    <w:name w:val="附录1级 Char"/>
    <w:link w:val="55"/>
    <w:qFormat/>
    <w:uiPriority w:val="0"/>
    <w:rPr>
      <w:rFonts w:ascii="宋体" w:hAnsi="宋体" w:eastAsia="宋体" w:cs="Times New Roman"/>
      <w:sz w:val="24"/>
    </w:rPr>
  </w:style>
  <w:style w:type="paragraph" w:customStyle="1" w:styleId="57">
    <w:name w:val="附录2级"/>
    <w:basedOn w:val="1"/>
    <w:link w:val="58"/>
    <w:qFormat/>
    <w:uiPriority w:val="0"/>
    <w:pPr>
      <w:ind w:firstLine="480"/>
    </w:pPr>
    <w:rPr>
      <w:rFonts w:cs="宋体"/>
      <w:szCs w:val="20"/>
    </w:rPr>
  </w:style>
  <w:style w:type="character" w:customStyle="1" w:styleId="58">
    <w:name w:val="附录2级 Char"/>
    <w:link w:val="57"/>
    <w:qFormat/>
    <w:uiPriority w:val="0"/>
    <w:rPr>
      <w:rFonts w:ascii="Times New Roman" w:hAnsi="Times New Roman" w:eastAsia="宋体" w:cs="宋体"/>
      <w:sz w:val="24"/>
      <w:szCs w:val="20"/>
    </w:rPr>
  </w:style>
  <w:style w:type="paragraph" w:customStyle="1" w:styleId="59">
    <w:name w:val="附录3级"/>
    <w:basedOn w:val="1"/>
    <w:qFormat/>
    <w:uiPriority w:val="0"/>
    <w:pPr>
      <w:numPr>
        <w:ilvl w:val="2"/>
        <w:numId w:val="5"/>
      </w:numPr>
      <w:ind w:firstLine="0" w:firstLineChars="0"/>
      <w:outlineLvl w:val="2"/>
    </w:pPr>
  </w:style>
  <w:style w:type="character" w:customStyle="1" w:styleId="60">
    <w:name w:val="副标题 字符"/>
    <w:link w:val="24"/>
    <w:qFormat/>
    <w:uiPriority w:val="11"/>
    <w:rPr>
      <w:rFonts w:ascii="Cambria" w:hAnsi="Cambria" w:eastAsia="宋体" w:cs="Times New Roman"/>
      <w:b/>
      <w:bCs/>
      <w:kern w:val="28"/>
      <w:sz w:val="32"/>
      <w:szCs w:val="32"/>
    </w:rPr>
  </w:style>
  <w:style w:type="paragraph" w:styleId="61">
    <w:name w:val="List Paragraph"/>
    <w:basedOn w:val="1"/>
    <w:link w:val="62"/>
    <w:qFormat/>
    <w:uiPriority w:val="34"/>
    <w:pPr>
      <w:ind w:firstLine="420"/>
    </w:pPr>
  </w:style>
  <w:style w:type="character" w:customStyle="1" w:styleId="62">
    <w:name w:val="列表段落 字符"/>
    <w:link w:val="61"/>
    <w:qFormat/>
    <w:locked/>
    <w:uiPriority w:val="34"/>
    <w:rPr>
      <w:rFonts w:ascii="Times New Roman" w:hAnsi="Times New Roman" w:eastAsia="宋体" w:cs="Times New Roman"/>
      <w:sz w:val="24"/>
    </w:rPr>
  </w:style>
  <w:style w:type="character" w:customStyle="1" w:styleId="63">
    <w:name w:val="批注框文本 字符"/>
    <w:link w:val="19"/>
    <w:qFormat/>
    <w:uiPriority w:val="99"/>
    <w:rPr>
      <w:rFonts w:ascii="Times New Roman" w:hAnsi="Times New Roman" w:eastAsia="宋体" w:cs="Times New Roman"/>
      <w:sz w:val="18"/>
      <w:szCs w:val="18"/>
    </w:rPr>
  </w:style>
  <w:style w:type="character" w:customStyle="1" w:styleId="64">
    <w:name w:val="批注文字 字符"/>
    <w:link w:val="15"/>
    <w:qFormat/>
    <w:uiPriority w:val="99"/>
    <w:rPr>
      <w:rFonts w:ascii="Times New Roman" w:hAnsi="Times New Roman" w:eastAsia="宋体" w:cs="Times New Roman"/>
      <w:sz w:val="24"/>
    </w:rPr>
  </w:style>
  <w:style w:type="character" w:customStyle="1" w:styleId="65">
    <w:name w:val="批注主题 字符"/>
    <w:link w:val="28"/>
    <w:qFormat/>
    <w:uiPriority w:val="99"/>
    <w:rPr>
      <w:rFonts w:ascii="Times New Roman" w:hAnsi="Times New Roman" w:eastAsia="宋体" w:cs="Times New Roman"/>
      <w:b/>
      <w:bCs/>
      <w:sz w:val="24"/>
    </w:rPr>
  </w:style>
  <w:style w:type="paragraph" w:customStyle="1" w:styleId="66">
    <w:name w:val="前言"/>
    <w:basedOn w:val="37"/>
    <w:next w:val="57"/>
    <w:qFormat/>
    <w:uiPriority w:val="0"/>
    <w:pPr>
      <w:spacing w:line="360" w:lineRule="auto"/>
    </w:pPr>
  </w:style>
  <w:style w:type="paragraph" w:customStyle="1" w:styleId="67">
    <w:name w:val="缺省文本"/>
    <w:basedOn w:val="1"/>
    <w:qFormat/>
    <w:uiPriority w:val="0"/>
    <w:pPr>
      <w:autoSpaceDE w:val="0"/>
      <w:autoSpaceDN w:val="0"/>
      <w:jc w:val="left"/>
    </w:pPr>
    <w:rPr>
      <w:rFonts w:eastAsia="Times New Roman"/>
      <w:kern w:val="0"/>
      <w:lang w:eastAsia="en-US"/>
    </w:rPr>
  </w:style>
  <w:style w:type="character" w:customStyle="1" w:styleId="68">
    <w:name w:val="尾注文本 字符"/>
    <w:basedOn w:val="31"/>
    <w:link w:val="18"/>
    <w:qFormat/>
    <w:uiPriority w:val="0"/>
    <w:rPr>
      <w:rFonts w:ascii="Times New Roman" w:hAnsi="Times New Roman" w:eastAsia="宋体" w:cs="Times New Roman"/>
      <w:sz w:val="24"/>
    </w:rPr>
  </w:style>
  <w:style w:type="character" w:customStyle="1" w:styleId="69">
    <w:name w:val="未处理的提及1"/>
    <w:basedOn w:val="31"/>
    <w:semiHidden/>
    <w:unhideWhenUsed/>
    <w:qFormat/>
    <w:uiPriority w:val="99"/>
    <w:rPr>
      <w:color w:val="605E5C"/>
      <w:shd w:val="clear" w:color="auto" w:fill="E1DFDD"/>
    </w:rPr>
  </w:style>
  <w:style w:type="character" w:customStyle="1" w:styleId="70">
    <w:name w:val="文档结构图 字符"/>
    <w:link w:val="14"/>
    <w:qFormat/>
    <w:uiPriority w:val="99"/>
    <w:rPr>
      <w:rFonts w:ascii="宋体" w:hAnsi="Times New Roman" w:eastAsia="宋体" w:cs="Times New Roman"/>
      <w:sz w:val="18"/>
      <w:szCs w:val="18"/>
    </w:rPr>
  </w:style>
  <w:style w:type="character" w:customStyle="1" w:styleId="71">
    <w:name w:val="页脚 字符"/>
    <w:link w:val="20"/>
    <w:qFormat/>
    <w:uiPriority w:val="99"/>
    <w:rPr>
      <w:rFonts w:ascii="Times New Roman" w:hAnsi="Times New Roman" w:eastAsia="宋体" w:cs="Times New Roman"/>
      <w:sz w:val="24"/>
      <w:szCs w:val="18"/>
    </w:rPr>
  </w:style>
  <w:style w:type="character" w:customStyle="1" w:styleId="72">
    <w:name w:val="页脚 Char"/>
    <w:qFormat/>
    <w:uiPriority w:val="99"/>
    <w:rPr>
      <w:rFonts w:eastAsia="Calibri"/>
      <w:sz w:val="21"/>
    </w:rPr>
  </w:style>
  <w:style w:type="character" w:customStyle="1" w:styleId="73">
    <w:name w:val="页脚 Char2"/>
    <w:qFormat/>
    <w:uiPriority w:val="99"/>
    <w:rPr>
      <w:rFonts w:ascii="Calibri" w:hAnsi="Calibri"/>
      <w:sz w:val="24"/>
      <w:szCs w:val="18"/>
    </w:rPr>
  </w:style>
  <w:style w:type="character" w:customStyle="1" w:styleId="74">
    <w:name w:val="页眉 字符"/>
    <w:link w:val="21"/>
    <w:qFormat/>
    <w:uiPriority w:val="99"/>
    <w:rPr>
      <w:rFonts w:ascii="Times New Roman" w:hAnsi="Times New Roman" w:eastAsia="宋体" w:cs="Times New Roman"/>
      <w:sz w:val="24"/>
      <w:szCs w:val="18"/>
    </w:rPr>
  </w:style>
  <w:style w:type="character" w:customStyle="1" w:styleId="75">
    <w:name w:val="页眉 Char"/>
    <w:qFormat/>
    <w:uiPriority w:val="99"/>
    <w:rPr>
      <w:sz w:val="18"/>
      <w:szCs w:val="18"/>
    </w:rPr>
  </w:style>
  <w:style w:type="character" w:customStyle="1" w:styleId="76">
    <w:name w:val="页眉 Char2"/>
    <w:qFormat/>
    <w:uiPriority w:val="99"/>
    <w:rPr>
      <w:rFonts w:ascii="Calibri" w:hAnsi="Calibri"/>
      <w:sz w:val="24"/>
      <w:szCs w:val="18"/>
    </w:rPr>
  </w:style>
  <w:style w:type="character" w:styleId="77">
    <w:name w:val="Placeholder Text"/>
    <w:semiHidden/>
    <w:qFormat/>
    <w:uiPriority w:val="99"/>
    <w:rPr>
      <w:color w:val="808080"/>
    </w:rPr>
  </w:style>
  <w:style w:type="paragraph" w:customStyle="1" w:styleId="78">
    <w:name w:val="正文1"/>
    <w:basedOn w:val="1"/>
    <w:qFormat/>
    <w:uiPriority w:val="0"/>
    <w:pPr>
      <w:jc w:val="left"/>
    </w:pPr>
  </w:style>
  <w:style w:type="character" w:customStyle="1" w:styleId="79">
    <w:name w:val="正文格式 Char Char"/>
    <w:qFormat/>
    <w:uiPriority w:val="0"/>
    <w:rPr>
      <w:rFonts w:ascii="Times New Roman" w:hAnsi="Times New Roman" w:cs="宋体"/>
      <w:kern w:val="2"/>
      <w:sz w:val="24"/>
    </w:rPr>
  </w:style>
  <w:style w:type="character" w:customStyle="1" w:styleId="80">
    <w:name w:val="正文缩进 字符"/>
    <w:link w:val="12"/>
    <w:qFormat/>
    <w:uiPriority w:val="0"/>
    <w:rPr>
      <w:rFonts w:ascii="Times New Roman" w:hAnsi="Times New Roman" w:eastAsia="宋体" w:cs="Times New Roman"/>
      <w:kern w:val="24"/>
      <w:szCs w:val="20"/>
    </w:rPr>
  </w:style>
  <w:style w:type="paragraph" w:customStyle="1" w:styleId="81">
    <w:name w:val="修订1"/>
    <w:hidden/>
    <w:semiHidden/>
    <w:qFormat/>
    <w:uiPriority w:val="99"/>
    <w:rPr>
      <w:rFonts w:ascii="Times New Roman" w:hAnsi="Times New Roman" w:eastAsia="宋体" w:cs="Times New Roman"/>
      <w:kern w:val="2"/>
      <w:sz w:val="24"/>
      <w:szCs w:val="22"/>
      <w:lang w:val="en-US" w:eastAsia="zh-CN" w:bidi="ar-SA"/>
    </w:rPr>
  </w:style>
  <w:style w:type="paragraph" w:customStyle="1" w:styleId="82">
    <w:name w:val="修订2"/>
    <w:hidden/>
    <w:semiHidden/>
    <w:qFormat/>
    <w:uiPriority w:val="99"/>
    <w:rPr>
      <w:rFonts w:ascii="Times New Roman" w:hAnsi="Times New Roman" w:eastAsia="宋体" w:cs="Times New Roman"/>
      <w:kern w:val="2"/>
      <w:sz w:val="24"/>
      <w:szCs w:val="22"/>
      <w:lang w:val="en-US" w:eastAsia="zh-CN" w:bidi="ar-SA"/>
    </w:rPr>
  </w:style>
  <w:style w:type="paragraph" w:customStyle="1" w:styleId="83">
    <w:name w:val="_标题1"/>
    <w:basedOn w:val="2"/>
    <w:next w:val="1"/>
    <w:qFormat/>
    <w:uiPriority w:val="0"/>
    <w:pPr>
      <w:keepNext/>
      <w:keepLines/>
      <w:widowControl w:val="0"/>
      <w:numPr>
        <w:ilvl w:val="0"/>
        <w:numId w:val="6"/>
      </w:numPr>
      <w:tabs>
        <w:tab w:val="left" w:pos="850"/>
        <w:tab w:val="clear" w:pos="384"/>
      </w:tabs>
      <w:adjustRightInd/>
      <w:spacing w:before="340" w:after="330" w:line="578" w:lineRule="auto"/>
      <w:jc w:val="center"/>
      <w:textAlignment w:val="auto"/>
    </w:pPr>
    <w:rPr>
      <w:rFonts w:ascii="Arial" w:hAnsi="Arial"/>
      <w:bCs/>
      <w:kern w:val="44"/>
      <w:sz w:val="44"/>
      <w:szCs w:val="44"/>
    </w:rPr>
  </w:style>
  <w:style w:type="paragraph" w:customStyle="1" w:styleId="84">
    <w:name w:val="_标题2"/>
    <w:basedOn w:val="3"/>
    <w:next w:val="1"/>
    <w:qFormat/>
    <w:uiPriority w:val="99"/>
    <w:pPr>
      <w:keepNext/>
      <w:keepLines/>
      <w:widowControl w:val="0"/>
      <w:numPr>
        <w:numId w:val="0"/>
      </w:numPr>
      <w:tabs>
        <w:tab w:val="left" w:pos="850"/>
        <w:tab w:val="clear" w:pos="480"/>
      </w:tabs>
      <w:spacing w:before="260" w:after="260" w:line="416" w:lineRule="auto"/>
      <w:ind w:left="1418" w:hanging="1418"/>
    </w:pPr>
    <w:rPr>
      <w:rFonts w:ascii="Arial" w:hAnsi="Arial"/>
      <w:bCs/>
      <w:sz w:val="32"/>
    </w:rPr>
  </w:style>
  <w:style w:type="paragraph" w:customStyle="1" w:styleId="85">
    <w:name w:val="null5"/>
    <w:hidden/>
    <w:qFormat/>
    <w:uiPriority w:val="0"/>
    <w:rPr>
      <w:rFonts w:hint="eastAsia" w:asciiTheme="minorHAnsi" w:hAnsiTheme="minorHAnsi" w:eastAsiaTheme="minorEastAsia" w:cstheme="minorBidi"/>
      <w:lang w:val="en-US" w:eastAsia="zh-CN" w:bidi="ar-SA"/>
    </w:rPr>
  </w:style>
  <w:style w:type="paragraph" w:customStyle="1" w:styleId="86">
    <w:name w:val="标准文件_段"/>
    <w:link w:val="87"/>
    <w:qFormat/>
    <w:uiPriority w:val="0"/>
    <w:pPr>
      <w:widowControl w:val="0"/>
      <w:spacing w:line="360" w:lineRule="auto"/>
      <w:ind w:firstLine="198" w:firstLineChars="200"/>
      <w:jc w:val="both"/>
    </w:pPr>
    <w:rPr>
      <w:rFonts w:ascii="Times New Roman" w:hAnsi="Times New Roman" w:eastAsia="宋体" w:cs="Times New Roman"/>
      <w:kern w:val="2"/>
      <w:sz w:val="24"/>
      <w:lang w:val="en-US" w:eastAsia="zh-CN" w:bidi="ar-SA"/>
    </w:rPr>
  </w:style>
  <w:style w:type="character" w:customStyle="1" w:styleId="87">
    <w:name w:val="标准文件_段 Char"/>
    <w:link w:val="86"/>
    <w:qFormat/>
    <w:uiPriority w:val="0"/>
    <w:rPr>
      <w:rFonts w:ascii="Times New Roman" w:hAnsi="Times New Roman" w:eastAsia="宋体" w:cs="Times New Roman"/>
      <w:kern w:val="2"/>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5889</Words>
  <Characters>6068</Characters>
  <Lines>52</Lines>
  <Paragraphs>14</Paragraphs>
  <TotalTime>30</TotalTime>
  <ScaleCrop>false</ScaleCrop>
  <LinksUpToDate>false</LinksUpToDate>
  <CharactersWithSpaces>6203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2023-11-22T11:18:00Z</dcterms:created>
  <dc:creator>黄 应梦</dc:creator>
  <cp:lastModifiedBy>樊宣佑</cp:lastModifiedBy>
  <dcterms:modified xsi:type="dcterms:W3CDTF">2026-07-10T07:41:04Z</dcterms:modified>
  <cp:revision>74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2D3068CED629A1A7F1B55D6505D82ECD_42</vt:lpwstr>
  </property>
  <property fmtid="{D5CDD505-2E9C-101B-9397-08002B2CF9AE}" pid="4" name="KSOTemplateDocerSaveRecord">
    <vt:lpwstr>eyJoZGlkIjoiMTcyMjExMDY5MWMzMTg1NWFkMmVhOTdiMjUwNGQzMDYiLCJ1c2VySWQiOiIyNjcyMzE4NzAifQ==</vt:lpwstr>
  </property>
</Properties>
</file>