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72BA5A">
      <w:pPr>
        <w:ind w:firstLine="0" w:firstLineChars="0"/>
        <w:jc w:val="center"/>
        <w:rPr>
          <w:rFonts w:ascii="宋体" w:hAnsi="宋体"/>
          <w:color w:val="000000"/>
          <w:kern w:val="0"/>
          <w:sz w:val="44"/>
          <w:szCs w:val="44"/>
        </w:rPr>
      </w:pPr>
    </w:p>
    <w:p w14:paraId="14640084">
      <w:pPr>
        <w:ind w:firstLine="0" w:firstLineChars="0"/>
        <w:jc w:val="center"/>
        <w:rPr>
          <w:rFonts w:ascii="宋体" w:hAnsi="宋体"/>
          <w:color w:val="000000"/>
          <w:kern w:val="0"/>
          <w:sz w:val="44"/>
          <w:szCs w:val="44"/>
        </w:rPr>
      </w:pPr>
    </w:p>
    <w:p w14:paraId="5B74780E">
      <w:pPr>
        <w:ind w:firstLine="0" w:firstLineChars="0"/>
        <w:jc w:val="center"/>
        <w:rPr>
          <w:rFonts w:ascii="方正小标宋简体" w:hAnsi="黑体" w:eastAsia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黑体" w:eastAsia="方正小标宋简体"/>
          <w:color w:val="000000"/>
          <w:kern w:val="0"/>
          <w:sz w:val="44"/>
          <w:szCs w:val="44"/>
        </w:rPr>
        <w:t>商飞软件有限公司</w:t>
      </w:r>
    </w:p>
    <w:p w14:paraId="1E2EA274">
      <w:pPr>
        <w:ind w:firstLine="0" w:firstLineChars="0"/>
        <w:jc w:val="center"/>
        <w:rPr>
          <w:rFonts w:ascii="方正小标宋简体" w:hAnsi="黑体" w:eastAsia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黑体" w:eastAsia="方正小标宋简体"/>
          <w:color w:val="000000"/>
          <w:kern w:val="0"/>
          <w:sz w:val="44"/>
          <w:szCs w:val="44"/>
        </w:rPr>
        <w:t>【</w:t>
      </w:r>
      <w:r>
        <w:rPr>
          <w:rFonts w:hint="eastAsia" w:ascii="方正小标宋简体" w:hAnsi="黑体" w:eastAsia="方正小标宋简体"/>
          <w:color w:val="000000"/>
          <w:kern w:val="0"/>
          <w:sz w:val="44"/>
          <w:szCs w:val="44"/>
          <w:lang w:val="en-US" w:eastAsia="zh-CN"/>
        </w:rPr>
        <w:t>三楼</w:t>
      </w:r>
      <w:r>
        <w:rPr>
          <w:rFonts w:hint="eastAsia" w:ascii="方正小标宋简体" w:hAnsi="黑体" w:eastAsia="方正小标宋简体"/>
          <w:color w:val="000000"/>
          <w:kern w:val="0"/>
          <w:sz w:val="44"/>
          <w:szCs w:val="44"/>
        </w:rPr>
        <w:t>办公场地灯光实体开关加装工程】</w:t>
      </w:r>
    </w:p>
    <w:p w14:paraId="7E1B0F28">
      <w:pPr>
        <w:ind w:firstLine="0" w:firstLineChars="0"/>
        <w:jc w:val="center"/>
        <w:rPr>
          <w:rFonts w:ascii="方正小标宋简体" w:hAnsi="黑体" w:eastAsia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黑体" w:eastAsia="方正小标宋简体"/>
          <w:color w:val="000000"/>
          <w:kern w:val="0"/>
          <w:sz w:val="44"/>
          <w:szCs w:val="44"/>
        </w:rPr>
        <w:t>需求描述</w:t>
      </w:r>
    </w:p>
    <w:p w14:paraId="6F217B9F">
      <w:pPr>
        <w:ind w:firstLine="0" w:firstLineChars="0"/>
        <w:jc w:val="center"/>
        <w:rPr>
          <w:rFonts w:ascii="黑体" w:hAnsi="黑体" w:eastAsia="黑体"/>
          <w:color w:val="000000"/>
          <w:kern w:val="0"/>
          <w:sz w:val="44"/>
          <w:szCs w:val="44"/>
        </w:rPr>
      </w:pPr>
    </w:p>
    <w:p w14:paraId="729079F8">
      <w:pPr>
        <w:widowControl/>
        <w:adjustRightInd/>
        <w:snapToGrid/>
        <w:spacing w:line="240" w:lineRule="auto"/>
        <w:ind w:firstLine="0" w:firstLineChars="0"/>
        <w:rPr>
          <w:color w:val="000000"/>
          <w:kern w:val="0"/>
          <w:sz w:val="21"/>
          <w:szCs w:val="21"/>
        </w:rPr>
      </w:pPr>
      <w:r>
        <w:rPr>
          <w:rFonts w:hint="eastAsia" w:ascii="宋体" w:hAnsi="宋体"/>
          <w:color w:val="000000"/>
          <w:kern w:val="0"/>
          <w:sz w:val="21"/>
          <w:szCs w:val="21"/>
        </w:rPr>
        <w:t> </w:t>
      </w:r>
    </w:p>
    <w:p w14:paraId="2BA41EFF">
      <w:pPr>
        <w:widowControl/>
        <w:adjustRightInd/>
        <w:snapToGrid/>
        <w:spacing w:line="240" w:lineRule="auto"/>
        <w:ind w:firstLine="420" w:firstLineChars="0"/>
        <w:rPr>
          <w:color w:val="000000"/>
          <w:kern w:val="0"/>
          <w:sz w:val="21"/>
          <w:szCs w:val="21"/>
        </w:rPr>
      </w:pPr>
      <w:r>
        <w:rPr>
          <w:rFonts w:hint="eastAsia" w:ascii="宋体" w:hAnsi="宋体"/>
          <w:color w:val="000000"/>
          <w:kern w:val="0"/>
          <w:sz w:val="21"/>
          <w:szCs w:val="21"/>
        </w:rPr>
        <w:t> </w:t>
      </w:r>
    </w:p>
    <w:p w14:paraId="5245F8DF">
      <w:pPr>
        <w:widowControl/>
        <w:adjustRightInd/>
        <w:snapToGrid/>
        <w:spacing w:line="240" w:lineRule="auto"/>
        <w:ind w:firstLine="0" w:firstLineChars="0"/>
        <w:jc w:val="left"/>
        <w:rPr>
          <w:rFonts w:ascii="黑体" w:hAnsi="黑体" w:eastAsia="黑体" w:cs="仿宋"/>
          <w:color w:val="000000"/>
          <w:kern w:val="0"/>
          <w:sz w:val="32"/>
          <w:szCs w:val="32"/>
        </w:rPr>
      </w:pPr>
    </w:p>
    <w:p w14:paraId="0123ACC0">
      <w:pPr>
        <w:widowControl/>
        <w:adjustRightInd/>
        <w:snapToGrid/>
        <w:spacing w:line="240" w:lineRule="auto"/>
        <w:ind w:firstLine="0" w:firstLineChars="0"/>
        <w:jc w:val="left"/>
        <w:rPr>
          <w:rFonts w:ascii="黑体" w:hAnsi="黑体" w:eastAsia="黑体" w:cs="仿宋"/>
          <w:color w:val="000000"/>
          <w:kern w:val="0"/>
          <w:sz w:val="32"/>
          <w:szCs w:val="32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1077" w:footer="992" w:gutter="0"/>
          <w:pgNumType w:start="1"/>
          <w:cols w:space="425" w:num="1"/>
          <w:docGrid w:type="lines" w:linePitch="326" w:charSpace="0"/>
        </w:sectPr>
      </w:pPr>
    </w:p>
    <w:sdt>
      <w:sdtPr>
        <w:rPr>
          <w:rFonts w:eastAsia="宋体"/>
          <w:bCs w:val="0"/>
          <w:kern w:val="2"/>
          <w:sz w:val="24"/>
          <w:szCs w:val="22"/>
          <w:lang w:val="zh-CN"/>
        </w:rPr>
        <w:id w:val="-640355911"/>
        <w:docPartObj>
          <w:docPartGallery w:val="Table of Contents"/>
          <w:docPartUnique/>
        </w:docPartObj>
      </w:sdtPr>
      <w:sdtEndPr>
        <w:rPr>
          <w:rFonts w:eastAsia="宋体"/>
          <w:b/>
          <w:bCs w:val="0"/>
          <w:kern w:val="2"/>
          <w:sz w:val="24"/>
          <w:szCs w:val="22"/>
          <w:lang w:val="zh-CN"/>
        </w:rPr>
      </w:sdtEndPr>
      <w:sdtContent>
        <w:p w14:paraId="258E612B">
          <w:pPr>
            <w:pStyle w:val="37"/>
            <w:jc w:val="center"/>
            <w:rPr>
              <w:rFonts w:hint="eastAsia" w:ascii="宋体" w:hAnsi="宋体" w:eastAsia="宋体" w:cs="宋体"/>
              <w:b/>
              <w:bCs w:val="0"/>
              <w:sz w:val="24"/>
              <w:szCs w:val="24"/>
            </w:rPr>
          </w:pPr>
          <w:r>
            <w:rPr>
              <w:rFonts w:hint="eastAsia" w:ascii="宋体" w:hAnsi="宋体" w:eastAsia="宋体" w:cs="宋体"/>
              <w:b/>
              <w:bCs w:val="0"/>
              <w:sz w:val="24"/>
              <w:szCs w:val="24"/>
              <w:lang w:val="zh-CN"/>
            </w:rPr>
            <w:t>目录</w:t>
          </w:r>
        </w:p>
        <w:p w14:paraId="5E860955">
          <w:pPr>
            <w:pStyle w:val="22"/>
            <w:tabs>
              <w:tab w:val="right" w:leader="dot" w:pos="8306"/>
              <w:tab w:val="clear" w:pos="284"/>
              <w:tab w:val="clear" w:pos="9060"/>
            </w:tabs>
            <w:jc w:val="center"/>
            <w:rPr>
              <w:rFonts w:hint="eastAsia" w:ascii="宋体" w:hAnsi="宋体" w:eastAsia="宋体" w:cs="宋体"/>
              <w:sz w:val="24"/>
              <w:szCs w:val="24"/>
            </w:rPr>
          </w:pPr>
          <w:r>
            <w:rPr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</w:rPr>
            <w:instrText xml:space="preserve"> TOC \o "1-3" \h \z \u </w:instrTex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</w:rPr>
            <w:instrText xml:space="preserve"> HYPERLINK \l _Toc1917 </w:instrTex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  <w:lang w:bidi="ar"/>
            </w:rPr>
            <w:t>1 项目背景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</w:rPr>
            <w:instrText xml:space="preserve"> PAGEREF _Toc1917 \h </w:instrTex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t>2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</w:p>
        <w:p w14:paraId="68D6B6B6">
          <w:pPr>
            <w:pStyle w:val="22"/>
            <w:tabs>
              <w:tab w:val="right" w:leader="dot" w:pos="8306"/>
              <w:tab w:val="clear" w:pos="284"/>
              <w:tab w:val="clear" w:pos="9060"/>
            </w:tabs>
            <w:jc w:val="center"/>
            <w:rPr>
              <w:rFonts w:hint="eastAsia" w:ascii="宋体" w:hAnsi="宋体" w:eastAsia="宋体" w:cs="宋体"/>
              <w:sz w:val="24"/>
              <w:szCs w:val="24"/>
            </w:rPr>
          </w:pP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instrText xml:space="preserve"> HYPERLINK \l _Toc30839 </w:instrText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  <w:lang w:bidi="ar"/>
            </w:rPr>
            <w:t xml:space="preserve">2 </w:t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 w:bidi="ar"/>
            </w:rPr>
            <w:t>项目范围与工作内容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</w:rPr>
            <w:instrText xml:space="preserve"> PAGEREF _Toc30839 \h </w:instrTex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t>2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end"/>
          </w:r>
        </w:p>
        <w:p w14:paraId="01920B88">
          <w:pPr>
            <w:pStyle w:val="26"/>
            <w:tabs>
              <w:tab w:val="right" w:leader="dot" w:pos="8306"/>
              <w:tab w:val="clear" w:pos="709"/>
              <w:tab w:val="clear" w:pos="9060"/>
            </w:tabs>
            <w:jc w:val="center"/>
            <w:rPr>
              <w:rFonts w:hint="eastAsia" w:ascii="宋体" w:hAnsi="宋体" w:eastAsia="宋体" w:cs="宋体"/>
              <w:sz w:val="24"/>
              <w:szCs w:val="24"/>
            </w:rPr>
          </w:pP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instrText xml:space="preserve"> HYPERLINK \l _Toc3786 </w:instrText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  <w:lang w:bidi="ar"/>
            </w:rPr>
            <w:t>2.1 加装范围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</w:rPr>
            <w:instrText xml:space="preserve"> PAGEREF _Toc3786 \h </w:instrTex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t>2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end"/>
          </w:r>
        </w:p>
        <w:p w14:paraId="0A3BCFB2">
          <w:pPr>
            <w:pStyle w:val="26"/>
            <w:tabs>
              <w:tab w:val="right" w:leader="dot" w:pos="8306"/>
              <w:tab w:val="clear" w:pos="709"/>
              <w:tab w:val="clear" w:pos="9060"/>
            </w:tabs>
            <w:jc w:val="center"/>
            <w:rPr>
              <w:rFonts w:hint="eastAsia" w:ascii="宋体" w:hAnsi="宋体" w:eastAsia="宋体" w:cs="宋体"/>
              <w:sz w:val="24"/>
              <w:szCs w:val="24"/>
            </w:rPr>
          </w:pP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instrText xml:space="preserve"> HYPERLINK \l _Toc8828 </w:instrText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  <w:lang w:bidi="ar"/>
            </w:rPr>
            <w:t>2.2 主要工作内容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</w:rPr>
            <w:instrText xml:space="preserve"> PAGEREF _Toc8828 \h </w:instrTex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t>2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end"/>
          </w:r>
        </w:p>
        <w:p w14:paraId="2C659DFF">
          <w:pPr>
            <w:pStyle w:val="22"/>
            <w:tabs>
              <w:tab w:val="right" w:leader="dot" w:pos="8306"/>
              <w:tab w:val="clear" w:pos="284"/>
              <w:tab w:val="clear" w:pos="9060"/>
            </w:tabs>
            <w:jc w:val="center"/>
            <w:rPr>
              <w:rFonts w:hint="eastAsia" w:ascii="宋体" w:hAnsi="宋体" w:eastAsia="宋体" w:cs="宋体"/>
              <w:sz w:val="24"/>
              <w:szCs w:val="24"/>
            </w:rPr>
          </w:pP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instrText xml:space="preserve"> HYPERLINK \l _Toc27672 </w:instrText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 w:bidi="ar"/>
            </w:rPr>
            <w:t>3技术要求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</w:rPr>
            <w:instrText xml:space="preserve"> PAGEREF _Toc27672 \h </w:instrTex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t>3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end"/>
          </w:r>
        </w:p>
        <w:p w14:paraId="61E54850">
          <w:pPr>
            <w:pStyle w:val="26"/>
            <w:tabs>
              <w:tab w:val="right" w:leader="dot" w:pos="8306"/>
              <w:tab w:val="clear" w:pos="709"/>
              <w:tab w:val="clear" w:pos="9060"/>
            </w:tabs>
            <w:jc w:val="center"/>
            <w:rPr>
              <w:rFonts w:hint="eastAsia" w:ascii="宋体" w:hAnsi="宋体" w:eastAsia="宋体" w:cs="宋体"/>
              <w:sz w:val="24"/>
              <w:szCs w:val="24"/>
            </w:rPr>
          </w:pP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instrText xml:space="preserve"> HYPERLINK \l _Toc10018 </w:instrText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  <w:lang w:bidi="ar"/>
            </w:rPr>
            <w:t>3.1 主要材料要求（国标正品，品牌规格由供应商报价列明）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</w:rPr>
            <w:instrText xml:space="preserve"> PAGEREF _Toc10018 \h </w:instrTex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t>3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end"/>
          </w:r>
        </w:p>
        <w:p w14:paraId="7650FBCE">
          <w:pPr>
            <w:pStyle w:val="26"/>
            <w:tabs>
              <w:tab w:val="right" w:leader="dot" w:pos="8306"/>
              <w:tab w:val="clear" w:pos="709"/>
              <w:tab w:val="clear" w:pos="9060"/>
            </w:tabs>
            <w:jc w:val="center"/>
            <w:rPr>
              <w:rFonts w:hint="eastAsia" w:ascii="宋体" w:hAnsi="宋体" w:eastAsia="宋体" w:cs="宋体"/>
              <w:sz w:val="24"/>
              <w:szCs w:val="24"/>
            </w:rPr>
          </w:pP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instrText xml:space="preserve"> HYPERLINK \l _Toc31898 </w:instrText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  <w:lang w:bidi="ar"/>
            </w:rPr>
            <w:t>3.2 施工技术要求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</w:rPr>
            <w:instrText xml:space="preserve"> PAGEREF _Toc31898 \h </w:instrTex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t>3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end"/>
          </w:r>
        </w:p>
        <w:p w14:paraId="0406056C">
          <w:pPr>
            <w:pStyle w:val="26"/>
            <w:tabs>
              <w:tab w:val="right" w:leader="dot" w:pos="8306"/>
              <w:tab w:val="clear" w:pos="709"/>
              <w:tab w:val="clear" w:pos="9060"/>
            </w:tabs>
            <w:jc w:val="center"/>
            <w:rPr>
              <w:rFonts w:hint="eastAsia" w:ascii="宋体" w:hAnsi="宋体" w:eastAsia="宋体" w:cs="宋体"/>
              <w:sz w:val="24"/>
              <w:szCs w:val="24"/>
            </w:rPr>
          </w:pP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instrText xml:space="preserve"> HYPERLINK \l _Toc15837 </w:instrText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  <w:lang w:bidi="ar"/>
            </w:rPr>
            <w:t>3.3 验收标准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</w:rPr>
            <w:instrText xml:space="preserve"> PAGEREF _Toc15837 \h </w:instrTex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t>3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end"/>
          </w:r>
        </w:p>
        <w:p w14:paraId="1AD81329">
          <w:pPr>
            <w:pStyle w:val="22"/>
            <w:tabs>
              <w:tab w:val="right" w:leader="dot" w:pos="8306"/>
              <w:tab w:val="clear" w:pos="284"/>
              <w:tab w:val="clear" w:pos="9060"/>
            </w:tabs>
            <w:jc w:val="center"/>
            <w:rPr>
              <w:rFonts w:hint="eastAsia" w:ascii="宋体" w:hAnsi="宋体" w:eastAsia="宋体" w:cs="宋体"/>
              <w:sz w:val="24"/>
              <w:szCs w:val="24"/>
            </w:rPr>
          </w:pP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instrText xml:space="preserve"> HYPERLINK \l _Toc29887 </w:instrText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 w:bidi="ar"/>
            </w:rPr>
            <w:t>4供应商资质要求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</w:rPr>
            <w:instrText xml:space="preserve"> PAGEREF _Toc29887 \h </w:instrTex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t>3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end"/>
          </w:r>
        </w:p>
        <w:p w14:paraId="67BE32A1">
          <w:pPr>
            <w:pStyle w:val="26"/>
            <w:tabs>
              <w:tab w:val="right" w:leader="dot" w:pos="8306"/>
              <w:tab w:val="clear" w:pos="709"/>
              <w:tab w:val="clear" w:pos="9060"/>
            </w:tabs>
            <w:jc w:val="center"/>
            <w:rPr>
              <w:rFonts w:hint="eastAsia" w:ascii="宋体" w:hAnsi="宋体" w:eastAsia="宋体" w:cs="宋体"/>
              <w:sz w:val="24"/>
              <w:szCs w:val="24"/>
            </w:rPr>
          </w:pP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instrText xml:space="preserve"> HYPERLINK \l _Toc24840 </w:instrText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 w:bidi="ar"/>
            </w:rPr>
            <w:t>4.1企业资质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</w:rPr>
            <w:instrText xml:space="preserve"> PAGEREF _Toc24840 \h </w:instrTex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t>3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end"/>
          </w:r>
        </w:p>
        <w:p w14:paraId="08A29ECA">
          <w:pPr>
            <w:pStyle w:val="26"/>
            <w:tabs>
              <w:tab w:val="right" w:leader="dot" w:pos="8306"/>
              <w:tab w:val="clear" w:pos="709"/>
              <w:tab w:val="clear" w:pos="9060"/>
            </w:tabs>
            <w:jc w:val="center"/>
            <w:rPr>
              <w:rFonts w:hint="eastAsia" w:ascii="宋体" w:hAnsi="宋体" w:eastAsia="宋体" w:cs="宋体"/>
              <w:sz w:val="24"/>
              <w:szCs w:val="24"/>
            </w:rPr>
          </w:pP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instrText xml:space="preserve"> HYPERLINK \l _Toc9875 </w:instrText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 w:bidi="ar"/>
            </w:rPr>
            <w:t>4.2人员资质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</w:rPr>
            <w:instrText xml:space="preserve"> PAGEREF _Toc9875 \h </w:instrTex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t>4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end"/>
          </w:r>
        </w:p>
        <w:p w14:paraId="40987635">
          <w:pPr>
            <w:pStyle w:val="26"/>
            <w:tabs>
              <w:tab w:val="right" w:leader="dot" w:pos="8306"/>
              <w:tab w:val="clear" w:pos="709"/>
              <w:tab w:val="clear" w:pos="9060"/>
            </w:tabs>
            <w:jc w:val="center"/>
            <w:rPr>
              <w:rFonts w:hint="eastAsia" w:ascii="宋体" w:hAnsi="宋体" w:eastAsia="宋体" w:cs="宋体"/>
              <w:sz w:val="24"/>
              <w:szCs w:val="24"/>
            </w:rPr>
          </w:pP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instrText xml:space="preserve"> HYPERLINK \l _Toc16171 </w:instrText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 w:bidi="ar"/>
            </w:rPr>
            <w:t>4.3 优选条件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</w:rPr>
            <w:instrText xml:space="preserve"> PAGEREF _Toc16171 \h </w:instrTex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t>4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end"/>
          </w:r>
        </w:p>
        <w:p w14:paraId="33E1C151">
          <w:pPr>
            <w:pStyle w:val="22"/>
            <w:tabs>
              <w:tab w:val="right" w:leader="dot" w:pos="8306"/>
              <w:tab w:val="clear" w:pos="284"/>
              <w:tab w:val="clear" w:pos="9060"/>
            </w:tabs>
            <w:jc w:val="center"/>
            <w:rPr>
              <w:rFonts w:hint="eastAsia" w:ascii="宋体" w:hAnsi="宋体" w:eastAsia="宋体" w:cs="宋体"/>
              <w:sz w:val="24"/>
              <w:szCs w:val="24"/>
            </w:rPr>
          </w:pP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instrText xml:space="preserve"> HYPERLINK \l _Toc24678 </w:instrText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 w:bidi="ar"/>
            </w:rPr>
            <w:t>5商务要求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</w:rPr>
            <w:instrText xml:space="preserve"> PAGEREF _Toc24678 \h </w:instrTex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t>4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end"/>
          </w:r>
        </w:p>
        <w:p w14:paraId="1994A2DF">
          <w:pPr>
            <w:pStyle w:val="26"/>
            <w:tabs>
              <w:tab w:val="right" w:leader="dot" w:pos="8306"/>
              <w:tab w:val="clear" w:pos="709"/>
              <w:tab w:val="clear" w:pos="9060"/>
            </w:tabs>
            <w:jc w:val="center"/>
            <w:rPr>
              <w:rFonts w:hint="eastAsia" w:ascii="宋体" w:hAnsi="宋体" w:eastAsia="宋体" w:cs="宋体"/>
              <w:sz w:val="24"/>
              <w:szCs w:val="24"/>
            </w:rPr>
          </w:pP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instrText xml:space="preserve"> HYPERLINK \l _Toc1952 </w:instrText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 w:bidi="ar"/>
            </w:rPr>
            <w:t>5.1 报价要求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</w:rPr>
            <w:instrText xml:space="preserve"> PAGEREF _Toc1952 \h </w:instrTex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t>4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end"/>
          </w:r>
        </w:p>
        <w:p w14:paraId="060D2D2B">
          <w:pPr>
            <w:pStyle w:val="26"/>
            <w:tabs>
              <w:tab w:val="right" w:leader="dot" w:pos="8306"/>
              <w:tab w:val="clear" w:pos="709"/>
              <w:tab w:val="clear" w:pos="9060"/>
            </w:tabs>
            <w:jc w:val="center"/>
            <w:rPr>
              <w:rFonts w:hint="eastAsia" w:ascii="宋体" w:hAnsi="宋体" w:eastAsia="宋体" w:cs="宋体"/>
              <w:sz w:val="24"/>
              <w:szCs w:val="24"/>
            </w:rPr>
          </w:pP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instrText xml:space="preserve"> HYPERLINK \l _Toc19812 </w:instrText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 w:bidi="ar"/>
            </w:rPr>
            <w:t>5.2 工期要求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</w:rPr>
            <w:instrText xml:space="preserve"> PAGEREF _Toc19812 \h </w:instrTex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t>4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end"/>
          </w:r>
        </w:p>
        <w:p w14:paraId="0C7BB63B">
          <w:pPr>
            <w:pStyle w:val="26"/>
            <w:tabs>
              <w:tab w:val="right" w:leader="dot" w:pos="8306"/>
              <w:tab w:val="clear" w:pos="709"/>
              <w:tab w:val="clear" w:pos="9060"/>
            </w:tabs>
            <w:jc w:val="center"/>
            <w:rPr>
              <w:rFonts w:hint="eastAsia" w:ascii="宋体" w:hAnsi="宋体" w:eastAsia="宋体" w:cs="宋体"/>
              <w:sz w:val="24"/>
              <w:szCs w:val="24"/>
            </w:rPr>
          </w:pP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instrText xml:space="preserve"> HYPERLINK \l _Toc29996 </w:instrText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 w:bidi="ar"/>
            </w:rPr>
            <w:t>5.3 付款方式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</w:rPr>
            <w:instrText xml:space="preserve"> PAGEREF _Toc29996 \h </w:instrTex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t>5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end"/>
          </w:r>
        </w:p>
        <w:p w14:paraId="44F60B52">
          <w:pPr>
            <w:pStyle w:val="26"/>
            <w:tabs>
              <w:tab w:val="right" w:leader="dot" w:pos="8306"/>
              <w:tab w:val="clear" w:pos="709"/>
              <w:tab w:val="clear" w:pos="9060"/>
            </w:tabs>
            <w:jc w:val="center"/>
            <w:rPr>
              <w:rFonts w:hint="eastAsia" w:ascii="宋体" w:hAnsi="宋体" w:eastAsia="宋体" w:cs="宋体"/>
              <w:sz w:val="24"/>
              <w:szCs w:val="24"/>
            </w:rPr>
          </w:pP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instrText xml:space="preserve"> HYPERLINK \l _Toc20554 </w:instrText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 w:bidi="ar"/>
            </w:rPr>
            <w:t>5.4 质保要求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</w:rPr>
            <w:instrText xml:space="preserve"> PAGEREF _Toc20554 \h </w:instrTex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t>5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end"/>
          </w:r>
        </w:p>
        <w:p w14:paraId="776AA5B7">
          <w:pPr>
            <w:pStyle w:val="26"/>
            <w:tabs>
              <w:tab w:val="right" w:leader="dot" w:pos="8306"/>
              <w:tab w:val="clear" w:pos="709"/>
              <w:tab w:val="clear" w:pos="9060"/>
            </w:tabs>
            <w:jc w:val="center"/>
            <w:rPr>
              <w:rFonts w:hint="eastAsia" w:ascii="宋体" w:hAnsi="宋体" w:eastAsia="宋体" w:cs="宋体"/>
              <w:sz w:val="24"/>
              <w:szCs w:val="24"/>
            </w:rPr>
          </w:pP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instrText xml:space="preserve"> HYPERLINK \l _Toc20098 </w:instrText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 w:bidi="ar"/>
            </w:rPr>
            <w:t>5.5 安全文明施工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</w:rPr>
            <w:instrText xml:space="preserve"> PAGEREF _Toc20098 \h </w:instrTex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t>5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end"/>
          </w:r>
        </w:p>
        <w:p w14:paraId="0A7FEDBB">
          <w:pPr>
            <w:pStyle w:val="26"/>
            <w:tabs>
              <w:tab w:val="right" w:leader="dot" w:pos="8306"/>
              <w:tab w:val="clear" w:pos="709"/>
              <w:tab w:val="clear" w:pos="9060"/>
            </w:tabs>
            <w:jc w:val="center"/>
            <w:rPr>
              <w:rFonts w:hint="eastAsia" w:ascii="宋体" w:hAnsi="宋体" w:eastAsia="宋体" w:cs="宋体"/>
              <w:sz w:val="24"/>
              <w:szCs w:val="24"/>
            </w:rPr>
          </w:pP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instrText xml:space="preserve"> HYPERLINK \l _Toc20567 </w:instrText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 w:bidi="ar"/>
            </w:rPr>
            <w:t>5.6进度要求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</w:rPr>
            <w:instrText xml:space="preserve"> PAGEREF _Toc20567 \h </w:instrTex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t>5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end"/>
          </w:r>
        </w:p>
        <w:p w14:paraId="799FD71B">
          <w:pPr>
            <w:pStyle w:val="26"/>
            <w:tabs>
              <w:tab w:val="right" w:leader="dot" w:pos="8306"/>
              <w:tab w:val="clear" w:pos="709"/>
              <w:tab w:val="clear" w:pos="9060"/>
            </w:tabs>
            <w:jc w:val="center"/>
            <w:rPr>
              <w:rFonts w:hint="eastAsia" w:ascii="宋体" w:hAnsi="宋体" w:eastAsia="宋体" w:cs="宋体"/>
              <w:sz w:val="24"/>
              <w:szCs w:val="24"/>
            </w:rPr>
          </w:pP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instrText xml:space="preserve"> HYPERLINK \l _Toc5073 </w:instrText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  <w:lang w:val="en-US" w:eastAsia="zh-CN" w:bidi="ar"/>
            </w:rPr>
            <w:t>5.7交付日期及地点</w:t>
          </w:r>
          <w:r>
            <w:rPr>
              <w:rFonts w:hint="eastAsia" w:ascii="宋体" w:hAnsi="宋体" w:eastAsia="宋体" w:cs="宋体"/>
              <w:sz w:val="24"/>
              <w:szCs w:val="24"/>
            </w:rPr>
            <w:tab/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begin"/>
          </w:r>
          <w:r>
            <w:rPr>
              <w:rFonts w:hint="eastAsia" w:ascii="宋体" w:hAnsi="宋体" w:eastAsia="宋体" w:cs="宋体"/>
              <w:sz w:val="24"/>
              <w:szCs w:val="24"/>
            </w:rPr>
            <w:instrText xml:space="preserve"> PAGEREF _Toc5073 \h </w:instrTex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separate"/>
          </w:r>
          <w:r>
            <w:rPr>
              <w:rFonts w:hint="eastAsia" w:ascii="宋体" w:hAnsi="宋体" w:eastAsia="宋体" w:cs="宋体"/>
              <w:sz w:val="24"/>
              <w:szCs w:val="24"/>
            </w:rPr>
            <w:t>5</w:t>
          </w:r>
          <w:r>
            <w:rPr>
              <w:rFonts w:hint="eastAsia" w:ascii="宋体" w:hAnsi="宋体" w:eastAsia="宋体" w:cs="宋体"/>
              <w:sz w:val="24"/>
              <w:szCs w:val="24"/>
            </w:rPr>
            <w:fldChar w:fldCharType="end"/>
          </w: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end"/>
          </w:r>
        </w:p>
        <w:p w14:paraId="618113FB">
          <w:pPr>
            <w:ind w:firstLine="482"/>
            <w:jc w:val="center"/>
          </w:pPr>
          <w:r>
            <w:rPr>
              <w:rFonts w:hint="eastAsia" w:ascii="宋体" w:hAnsi="宋体" w:eastAsia="宋体" w:cs="宋体"/>
              <w:bCs/>
              <w:sz w:val="24"/>
              <w:szCs w:val="24"/>
              <w:lang w:val="zh-CN"/>
            </w:rPr>
            <w:fldChar w:fldCharType="end"/>
          </w:r>
        </w:p>
      </w:sdtContent>
    </w:sdt>
    <w:p w14:paraId="2FE872EE">
      <w:pPr>
        <w:widowControl/>
        <w:adjustRightInd/>
        <w:snapToGrid/>
        <w:spacing w:line="240" w:lineRule="auto"/>
        <w:ind w:firstLine="0" w:firstLineChars="0"/>
        <w:jc w:val="center"/>
        <w:rPr>
          <w:rFonts w:ascii="黑体" w:hAnsi="黑体" w:eastAsia="黑体" w:cs="仿宋"/>
          <w:color w:val="000000"/>
          <w:kern w:val="0"/>
          <w:sz w:val="32"/>
          <w:szCs w:val="32"/>
        </w:rPr>
      </w:pPr>
    </w:p>
    <w:p w14:paraId="038DD9C6">
      <w:pPr>
        <w:widowControl/>
        <w:adjustRightInd/>
        <w:snapToGrid/>
        <w:spacing w:line="240" w:lineRule="auto"/>
        <w:ind w:firstLine="0" w:firstLineChars="0"/>
        <w:jc w:val="left"/>
        <w:rPr>
          <w:rFonts w:ascii="黑体" w:hAnsi="黑体" w:eastAsia="黑体" w:cs="仿宋"/>
          <w:color w:val="000000"/>
          <w:kern w:val="0"/>
          <w:sz w:val="32"/>
          <w:szCs w:val="32"/>
        </w:rPr>
      </w:pPr>
      <w:r>
        <w:rPr>
          <w:rFonts w:ascii="黑体" w:hAnsi="黑体" w:eastAsia="黑体" w:cs="仿宋"/>
          <w:color w:val="000000"/>
          <w:kern w:val="0"/>
          <w:sz w:val="32"/>
          <w:szCs w:val="32"/>
        </w:rPr>
        <w:br w:type="page"/>
      </w:r>
    </w:p>
    <w:p w14:paraId="73E83514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ascii="黑体" w:hAnsi="黑体" w:eastAsia="黑体" w:cs="仿宋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kern w:val="0"/>
          <w:sz w:val="32"/>
          <w:szCs w:val="32"/>
        </w:rPr>
        <w:t>【三楼办公场地灯光实体开关加装工程】</w:t>
      </w:r>
    </w:p>
    <w:p w14:paraId="2E492A4A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spacing w:line="360" w:lineRule="auto"/>
        <w:ind w:firstLine="0" w:firstLineChars="0"/>
        <w:jc w:val="center"/>
        <w:textAlignment w:val="auto"/>
        <w:rPr>
          <w:rFonts w:ascii="黑体" w:hAnsi="黑体" w:eastAsia="黑体" w:cs="仿宋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kern w:val="0"/>
          <w:sz w:val="32"/>
          <w:szCs w:val="32"/>
        </w:rPr>
        <w:t>项目需求描述</w:t>
      </w:r>
    </w:p>
    <w:p w14:paraId="47E8339F">
      <w:pPr>
        <w:keepNext w:val="0"/>
        <w:keepLines w:val="0"/>
        <w:pageBreakBefore w:val="0"/>
        <w:numPr>
          <w:ilvl w:val="0"/>
          <w:numId w:val="0"/>
        </w:numPr>
        <w:tabs>
          <w:tab w:val="left" w:pos="384"/>
        </w:tabs>
        <w:kinsoku/>
        <w:wordWrap/>
        <w:overflowPunct/>
        <w:topLinePunct w:val="0"/>
        <w:autoSpaceDE/>
        <w:autoSpaceDN/>
        <w:bidi w:val="0"/>
        <w:spacing w:before="0" w:after="0"/>
        <w:outlineLvl w:val="9"/>
        <w:rPr>
          <w:b/>
          <w:bCs/>
          <w:lang w:bidi="ar"/>
        </w:rPr>
      </w:pPr>
      <w:bookmarkStart w:id="0" w:name="_Toc1917"/>
      <w:r>
        <w:rPr>
          <w:rFonts w:hint="eastAsia"/>
          <w:b/>
          <w:bCs/>
          <w:lang w:bidi="ar"/>
        </w:rPr>
        <w:t>1</w:t>
      </w:r>
      <w:r>
        <w:rPr>
          <w:b/>
          <w:bCs/>
          <w:lang w:bidi="ar"/>
        </w:rPr>
        <w:t xml:space="preserve"> </w:t>
      </w:r>
      <w:r>
        <w:rPr>
          <w:rFonts w:hint="eastAsia"/>
          <w:b/>
          <w:bCs/>
          <w:lang w:bidi="ar"/>
        </w:rPr>
        <w:t>项目背景</w:t>
      </w:r>
      <w:bookmarkEnd w:id="0"/>
    </w:p>
    <w:p w14:paraId="0186E1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outlineLvl w:val="9"/>
        <w:rPr>
          <w:rFonts w:hint="eastAsia" w:eastAsia="宋体"/>
          <w:lang w:eastAsia="zh-CN"/>
        </w:rPr>
      </w:pPr>
      <w:r>
        <w:rPr>
          <w:rFonts w:hint="eastAsia" w:ascii="宋体" w:hAnsi="宋体" w:eastAsia="宋体" w:cs="宋体"/>
          <w:b w:val="0"/>
          <w:sz w:val="24"/>
          <w:szCs w:val="24"/>
          <w:lang w:val="en-US" w:eastAsia="zh-CN"/>
        </w:rPr>
        <w:t>商飞软件有限公司位于</w:t>
      </w:r>
      <w:r>
        <w:rPr>
          <w:rFonts w:hint="eastAsia" w:ascii="宋体" w:hAnsi="宋体" w:cs="宋体"/>
          <w:b w:val="0"/>
          <w:sz w:val="24"/>
          <w:szCs w:val="24"/>
          <w:lang w:val="en-US" w:eastAsia="zh-CN"/>
        </w:rPr>
        <w:t>成都市天府菁蓉中心D区A6号楼的三层</w:t>
      </w:r>
      <w:r>
        <w:rPr>
          <w:rFonts w:hint="eastAsia" w:ascii="宋体" w:hAnsi="宋体" w:eastAsia="宋体" w:cs="宋体"/>
          <w:b w:val="0"/>
          <w:sz w:val="24"/>
          <w:szCs w:val="24"/>
          <w:lang w:val="en-US" w:eastAsia="zh-CN"/>
        </w:rPr>
        <w:t>办公场地，建筑面积约15</w:t>
      </w:r>
      <w:r>
        <w:rPr>
          <w:rFonts w:hint="eastAsia" w:ascii="宋体" w:hAnsi="宋体" w:cs="宋体"/>
          <w:b w:val="0"/>
          <w:sz w:val="24"/>
          <w:szCs w:val="24"/>
          <w:lang w:val="en-US" w:eastAsia="zh-CN"/>
        </w:rPr>
        <w:t>62.56</w:t>
      </w:r>
      <w:r>
        <w:rPr>
          <w:rFonts w:hint="eastAsia" w:ascii="宋体" w:hAnsi="宋体" w:eastAsia="宋体" w:cs="宋体"/>
          <w:b w:val="0"/>
          <w:sz w:val="24"/>
          <w:szCs w:val="24"/>
          <w:lang w:val="en-US" w:eastAsia="zh-CN"/>
        </w:rPr>
        <w:t>平方米，涵盖办公区、会议室、走廊、卫生间等功能区。目前该层全部灯光采用集中统一控制方式，存在使用不便、分区控制不足的问题。为提升使用灵活性、优化节能效果，拟在该场地加装墙面实体开关，实现分区域就地手动控制。</w:t>
      </w:r>
    </w:p>
    <w:p w14:paraId="476583A6">
      <w:pPr>
        <w:keepNext w:val="0"/>
        <w:keepLines w:val="0"/>
        <w:pageBreakBefore w:val="0"/>
        <w:numPr>
          <w:ilvl w:val="0"/>
          <w:numId w:val="0"/>
        </w:numPr>
        <w:tabs>
          <w:tab w:val="left" w:pos="384"/>
        </w:tabs>
        <w:kinsoku/>
        <w:wordWrap/>
        <w:overflowPunct/>
        <w:topLinePunct w:val="0"/>
        <w:autoSpaceDE/>
        <w:autoSpaceDN/>
        <w:bidi w:val="0"/>
        <w:spacing w:before="0" w:after="0"/>
        <w:outlineLvl w:val="9"/>
        <w:rPr>
          <w:rFonts w:hint="eastAsia"/>
          <w:b/>
          <w:bCs/>
          <w:lang w:val="en-US" w:eastAsia="zh-CN" w:bidi="ar"/>
        </w:rPr>
      </w:pPr>
      <w:bookmarkStart w:id="1" w:name="_Toc30839"/>
      <w:r>
        <w:rPr>
          <w:rFonts w:hint="eastAsia"/>
          <w:b/>
          <w:bCs/>
          <w:lang w:bidi="ar"/>
        </w:rPr>
        <w:t>2</w:t>
      </w:r>
      <w:r>
        <w:rPr>
          <w:b/>
          <w:bCs/>
          <w:lang w:bidi="ar"/>
        </w:rPr>
        <w:t xml:space="preserve"> </w:t>
      </w:r>
      <w:r>
        <w:rPr>
          <w:rFonts w:hint="eastAsia"/>
          <w:b/>
          <w:bCs/>
          <w:lang w:val="en-US" w:eastAsia="zh-CN" w:bidi="ar"/>
        </w:rPr>
        <w:t>项目范围与工作内容</w:t>
      </w:r>
      <w:bookmarkEnd w:id="1"/>
    </w:p>
    <w:p w14:paraId="21BE26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outlineLvl w:val="9"/>
      </w:pPr>
      <w:r>
        <w:rPr>
          <w:rFonts w:hint="eastAsia"/>
        </w:rPr>
        <w:t>本项目</w:t>
      </w:r>
      <w:r>
        <w:rPr>
          <w:rFonts w:hint="eastAsia"/>
          <w:lang w:eastAsia="zh-CN"/>
        </w:rPr>
        <w:t>属于</w:t>
      </w:r>
      <w:r>
        <w:rPr>
          <w:rFonts w:hint="eastAsia"/>
        </w:rPr>
        <w:t>电气改造类工程，涉及照明回路改造、实体开关加装、局部布线及墙面吊顶恢复等作业。</w:t>
      </w:r>
    </w:p>
    <w:p w14:paraId="6674D46B">
      <w:pPr>
        <w:keepNext w:val="0"/>
        <w:keepLines w:val="0"/>
        <w:pageBreakBefore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/>
        <w:autoSpaceDN/>
        <w:bidi w:val="0"/>
        <w:spacing w:before="0" w:after="0"/>
        <w:outlineLvl w:val="9"/>
        <w:rPr>
          <w:rFonts w:hint="eastAsia"/>
          <w:b/>
          <w:bCs/>
          <w:lang w:bidi="ar"/>
        </w:rPr>
      </w:pPr>
      <w:bookmarkStart w:id="2" w:name="_Toc3786"/>
      <w:r>
        <w:rPr>
          <w:rFonts w:hint="eastAsia"/>
          <w:b/>
          <w:bCs/>
          <w:lang w:bidi="ar"/>
        </w:rPr>
        <w:t>2.1 加装范围</w:t>
      </w:r>
      <w:bookmarkEnd w:id="2"/>
    </w:p>
    <w:p w14:paraId="4649D8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outlineLvl w:val="9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• 本次将为15</w:t>
      </w:r>
      <w:r>
        <w:rPr>
          <w:rFonts w:hint="eastAsia"/>
          <w:lang w:val="en-US" w:eastAsia="zh-CN"/>
        </w:rPr>
        <w:t>62.56平方米场地内的各功能区，包括办公区、会议室、走廊、卫生间、茶水间等，的照明回路加装实体墙面开关。</w:t>
      </w:r>
    </w:p>
    <w:p w14:paraId="18D58F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outlineLvl w:val="9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• 具体点位、回路划分与控制方式，即单控、双控或分区控制，以现场勘查确认后的结果为准。</w:t>
      </w:r>
    </w:p>
    <w:p w14:paraId="4BBB2F79">
      <w:pPr>
        <w:keepNext w:val="0"/>
        <w:keepLines w:val="0"/>
        <w:pageBreakBefore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/>
        <w:autoSpaceDN/>
        <w:bidi w:val="0"/>
        <w:spacing w:before="0" w:after="0"/>
        <w:outlineLvl w:val="9"/>
        <w:rPr>
          <w:rFonts w:hint="eastAsia"/>
          <w:b/>
          <w:bCs/>
          <w:lang w:bidi="ar"/>
        </w:rPr>
      </w:pPr>
      <w:bookmarkStart w:id="3" w:name="_Toc8828"/>
      <w:r>
        <w:rPr>
          <w:rFonts w:hint="eastAsia"/>
          <w:b/>
          <w:bCs/>
          <w:lang w:bidi="ar"/>
        </w:rPr>
        <w:t>2.2 主要工作内容</w:t>
      </w:r>
      <w:bookmarkEnd w:id="3"/>
    </w:p>
    <w:tbl>
      <w:tblPr>
        <w:tblStyle w:val="30"/>
        <w:tblW w:w="85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1467"/>
        <w:gridCol w:w="6220"/>
      </w:tblGrid>
      <w:tr w14:paraId="5CDAB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892" w:type="dxa"/>
            <w:shd w:val="clear" w:color="auto" w:fill="auto"/>
            <w:vAlign w:val="center"/>
          </w:tcPr>
          <w:p w14:paraId="0AE6E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03883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工作项</w:t>
            </w:r>
          </w:p>
        </w:tc>
        <w:tc>
          <w:tcPr>
            <w:tcW w:w="6220" w:type="dxa"/>
            <w:shd w:val="clear" w:color="auto" w:fill="auto"/>
            <w:vAlign w:val="center"/>
          </w:tcPr>
          <w:p w14:paraId="17151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内容说明</w:t>
            </w:r>
          </w:p>
        </w:tc>
      </w:tr>
      <w:tr w14:paraId="4BAEC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92" w:type="dxa"/>
            <w:shd w:val="clear" w:color="auto" w:fill="auto"/>
            <w:vAlign w:val="center"/>
          </w:tcPr>
          <w:p w14:paraId="34054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6DAAA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</w:rPr>
              <w:t>现场勘查</w:t>
            </w:r>
          </w:p>
        </w:tc>
        <w:tc>
          <w:tcPr>
            <w:tcW w:w="6220" w:type="dxa"/>
            <w:shd w:val="clear" w:color="auto" w:fill="auto"/>
            <w:vAlign w:val="center"/>
          </w:tcPr>
          <w:p w14:paraId="199DA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</w:rPr>
              <w:t>确定开关点位、回路划分、控制逻辑</w:t>
            </w: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  <w:lang w:eastAsia="zh-CN"/>
              </w:rPr>
              <w:t>及</w:t>
            </w: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</w:rPr>
              <w:t>配电接入点</w:t>
            </w:r>
          </w:p>
        </w:tc>
      </w:tr>
      <w:tr w14:paraId="1A09F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92" w:type="dxa"/>
            <w:shd w:val="clear" w:color="auto" w:fill="auto"/>
            <w:vAlign w:val="center"/>
          </w:tcPr>
          <w:p w14:paraId="64042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64AC4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</w:rPr>
              <w:t>线路改造</w:t>
            </w:r>
          </w:p>
        </w:tc>
        <w:tc>
          <w:tcPr>
            <w:tcW w:w="6220" w:type="dxa"/>
            <w:shd w:val="clear" w:color="auto" w:fill="auto"/>
            <w:vAlign w:val="center"/>
          </w:tcPr>
          <w:p w14:paraId="5BF7E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  <w:lang w:eastAsia="zh-CN"/>
              </w:rPr>
              <w:t>照明回路线路敷设改造（沿吊顶、线槽敷设或穿管暗敷）</w:t>
            </w:r>
          </w:p>
        </w:tc>
      </w:tr>
      <w:tr w14:paraId="55739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92" w:type="dxa"/>
            <w:shd w:val="clear" w:color="auto" w:fill="auto"/>
            <w:vAlign w:val="center"/>
          </w:tcPr>
          <w:p w14:paraId="2C970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09267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</w:rPr>
              <w:t>开关安装</w:t>
            </w:r>
          </w:p>
        </w:tc>
        <w:tc>
          <w:tcPr>
            <w:tcW w:w="6220" w:type="dxa"/>
            <w:shd w:val="clear" w:color="auto" w:fill="auto"/>
            <w:vAlign w:val="center"/>
          </w:tcPr>
          <w:p w14:paraId="1AFD7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  <w:lang w:eastAsia="zh-CN"/>
              </w:rPr>
              <w:t>安装86型实体墙面开关面板与底盒，包含接线工序</w:t>
            </w:r>
          </w:p>
        </w:tc>
      </w:tr>
      <w:tr w14:paraId="56601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892" w:type="dxa"/>
            <w:shd w:val="clear" w:color="auto" w:fill="auto"/>
            <w:vAlign w:val="center"/>
          </w:tcPr>
          <w:p w14:paraId="26BC9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520A1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</w:rPr>
              <w:t>配电接入</w:t>
            </w:r>
          </w:p>
        </w:tc>
        <w:tc>
          <w:tcPr>
            <w:tcW w:w="6220" w:type="dxa"/>
            <w:shd w:val="clear" w:color="auto" w:fill="auto"/>
            <w:vAlign w:val="center"/>
          </w:tcPr>
          <w:p w14:paraId="46884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</w:rPr>
              <w:t>与既有灯具、照明回路对接；必要时在照明配电箱内增设</w:t>
            </w: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  <w:lang w:eastAsia="zh-CN"/>
              </w:rPr>
              <w:t>或</w:t>
            </w: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</w:rPr>
              <w:t>调整回路与断路器</w:t>
            </w:r>
          </w:p>
        </w:tc>
      </w:tr>
      <w:tr w14:paraId="241D6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92" w:type="dxa"/>
            <w:shd w:val="clear" w:color="auto" w:fill="auto"/>
            <w:vAlign w:val="center"/>
          </w:tcPr>
          <w:p w14:paraId="34397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30CF4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</w:rPr>
              <w:t>土建恢复</w:t>
            </w:r>
          </w:p>
        </w:tc>
        <w:tc>
          <w:tcPr>
            <w:tcW w:w="6220" w:type="dxa"/>
            <w:shd w:val="clear" w:color="auto" w:fill="auto"/>
            <w:vAlign w:val="center"/>
          </w:tcPr>
          <w:p w14:paraId="26B53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</w:rPr>
              <w:t>墙面开槽、吊顶开孔及</w:t>
            </w:r>
            <w:r>
              <w:rPr>
                <w:rFonts w:hint="eastAsia" w:ascii="宋体" w:hAnsi="宋体" w:cs="宋体"/>
                <w:b w:val="0"/>
                <w:color w:val="auto"/>
                <w:sz w:val="24"/>
                <w:szCs w:val="24"/>
                <w:lang w:eastAsia="zh-CN"/>
              </w:rPr>
              <w:t>完工</w:t>
            </w: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</w:rPr>
              <w:t>恢复（如涉及）</w:t>
            </w:r>
          </w:p>
        </w:tc>
      </w:tr>
      <w:tr w14:paraId="23F6B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92" w:type="dxa"/>
            <w:shd w:val="clear" w:color="auto" w:fill="auto"/>
            <w:vAlign w:val="center"/>
          </w:tcPr>
          <w:p w14:paraId="0BF64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59F5D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</w:rPr>
              <w:t>调试验收</w:t>
            </w:r>
          </w:p>
        </w:tc>
        <w:tc>
          <w:tcPr>
            <w:tcW w:w="6220" w:type="dxa"/>
            <w:shd w:val="clear" w:color="auto" w:fill="auto"/>
            <w:vAlign w:val="center"/>
          </w:tcPr>
          <w:p w14:paraId="56BE0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  <w:lang w:eastAsia="zh-CN"/>
              </w:rPr>
              <w:t>送电调试、绝缘测试、回路标识标注，配合甲方完成验收</w:t>
            </w:r>
          </w:p>
        </w:tc>
      </w:tr>
      <w:tr w14:paraId="1039F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892" w:type="dxa"/>
            <w:shd w:val="clear" w:color="auto" w:fill="auto"/>
            <w:vAlign w:val="center"/>
          </w:tcPr>
          <w:p w14:paraId="102A4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031A0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</w:rPr>
              <w:t>资料与清场</w:t>
            </w:r>
          </w:p>
        </w:tc>
        <w:tc>
          <w:tcPr>
            <w:tcW w:w="6220" w:type="dxa"/>
            <w:shd w:val="clear" w:color="auto" w:fill="auto"/>
            <w:vAlign w:val="center"/>
          </w:tcPr>
          <w:p w14:paraId="3A8F6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  <w:lang w:eastAsia="zh-CN"/>
              </w:rPr>
              <w:t>提交竣工资料（示意图/竣工图、回路清单），清理现场并恢复原状</w:t>
            </w:r>
          </w:p>
        </w:tc>
      </w:tr>
    </w:tbl>
    <w:p w14:paraId="37A472EE">
      <w:pPr>
        <w:ind w:firstLine="480"/>
        <w:rPr>
          <w:lang w:bidi="ar"/>
        </w:rPr>
      </w:pPr>
    </w:p>
    <w:p w14:paraId="41509D8A">
      <w:pPr>
        <w:keepNext w:val="0"/>
        <w:keepLines w:val="0"/>
        <w:pageBreakBefore w:val="0"/>
        <w:numPr>
          <w:ilvl w:val="0"/>
          <w:numId w:val="0"/>
        </w:numPr>
        <w:tabs>
          <w:tab w:val="left" w:pos="384"/>
        </w:tabs>
        <w:kinsoku/>
        <w:wordWrap/>
        <w:overflowPunct/>
        <w:topLinePunct w:val="0"/>
        <w:autoSpaceDE/>
        <w:autoSpaceDN/>
        <w:bidi w:val="0"/>
        <w:spacing w:before="0" w:after="0"/>
        <w:outlineLvl w:val="9"/>
        <w:rPr>
          <w:rFonts w:hint="eastAsia"/>
          <w:b/>
          <w:bCs/>
          <w:lang w:val="en-US" w:eastAsia="zh-CN" w:bidi="ar"/>
        </w:rPr>
      </w:pPr>
      <w:bookmarkStart w:id="4" w:name="_Toc27672"/>
      <w:r>
        <w:rPr>
          <w:rFonts w:hint="eastAsia"/>
          <w:b/>
          <w:bCs/>
          <w:lang w:val="en-US" w:eastAsia="zh-CN" w:bidi="ar"/>
        </w:rPr>
        <w:t>3技术要求</w:t>
      </w:r>
      <w:bookmarkEnd w:id="4"/>
    </w:p>
    <w:p w14:paraId="4E9D5991">
      <w:pPr>
        <w:keepNext w:val="0"/>
        <w:keepLines w:val="0"/>
        <w:pageBreakBefore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/>
        <w:autoSpaceDN/>
        <w:bidi w:val="0"/>
        <w:spacing w:before="0" w:after="0"/>
        <w:outlineLvl w:val="9"/>
        <w:rPr>
          <w:rFonts w:hint="eastAsia"/>
          <w:b/>
          <w:bCs/>
          <w:lang w:bidi="ar"/>
        </w:rPr>
      </w:pPr>
      <w:bookmarkStart w:id="5" w:name="_Toc10018"/>
      <w:r>
        <w:rPr>
          <w:rFonts w:hint="eastAsia"/>
          <w:b/>
          <w:bCs/>
          <w:lang w:bidi="ar"/>
        </w:rPr>
        <w:t>3.1 主要材料要求（国标正品，品牌规格由供应商报价列明）</w:t>
      </w:r>
      <w:bookmarkEnd w:id="5"/>
    </w:p>
    <w:tbl>
      <w:tblPr>
        <w:tblStyle w:val="30"/>
        <w:tblW w:w="84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5"/>
        <w:gridCol w:w="6774"/>
      </w:tblGrid>
      <w:tr w14:paraId="04C94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685" w:type="dxa"/>
            <w:shd w:val="clear" w:color="auto" w:fill="auto"/>
            <w:vAlign w:val="center"/>
          </w:tcPr>
          <w:p w14:paraId="7D537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</w:rPr>
              <w:t>材料</w:t>
            </w:r>
          </w:p>
        </w:tc>
        <w:tc>
          <w:tcPr>
            <w:tcW w:w="6774" w:type="dxa"/>
            <w:shd w:val="clear" w:color="auto" w:fill="auto"/>
            <w:vAlign w:val="center"/>
          </w:tcPr>
          <w:p w14:paraId="43E44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</w:rPr>
              <w:t>技术要求</w:t>
            </w:r>
          </w:p>
        </w:tc>
      </w:tr>
      <w:tr w14:paraId="189A2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685" w:type="dxa"/>
            <w:shd w:val="clear" w:color="auto" w:fill="auto"/>
            <w:vAlign w:val="center"/>
          </w:tcPr>
          <w:p w14:paraId="6CB25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开关面板</w:t>
            </w:r>
          </w:p>
        </w:tc>
        <w:tc>
          <w:tcPr>
            <w:tcW w:w="6774" w:type="dxa"/>
            <w:shd w:val="clear" w:color="auto" w:fill="auto"/>
            <w:vAlign w:val="center"/>
          </w:tcPr>
          <w:p w14:paraId="176A0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86 型，额定 10A/250V，通过 CCC 认证，符合 GB/T 16915.1</w:t>
            </w:r>
          </w:p>
        </w:tc>
      </w:tr>
      <w:tr w14:paraId="4EE75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685" w:type="dxa"/>
            <w:shd w:val="clear" w:color="auto" w:fill="auto"/>
            <w:vAlign w:val="center"/>
          </w:tcPr>
          <w:p w14:paraId="1B664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电线</w:t>
            </w:r>
          </w:p>
        </w:tc>
        <w:tc>
          <w:tcPr>
            <w:tcW w:w="6774" w:type="dxa"/>
            <w:shd w:val="clear" w:color="auto" w:fill="auto"/>
            <w:vAlign w:val="center"/>
          </w:tcPr>
          <w:p w14:paraId="12E31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铜芯 BV/BVR，照明回路截面 ≥ 2.5mm²，符合 GB/T 5023</w:t>
            </w:r>
          </w:p>
        </w:tc>
      </w:tr>
      <w:tr w14:paraId="0E009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685" w:type="dxa"/>
            <w:shd w:val="clear" w:color="auto" w:fill="auto"/>
            <w:vAlign w:val="center"/>
          </w:tcPr>
          <w:p w14:paraId="58CD5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线管/线槽</w:t>
            </w:r>
          </w:p>
        </w:tc>
        <w:tc>
          <w:tcPr>
            <w:tcW w:w="6774" w:type="dxa"/>
            <w:shd w:val="clear" w:color="auto" w:fill="auto"/>
            <w:vAlign w:val="center"/>
          </w:tcPr>
          <w:p w14:paraId="52312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阻燃 PVC 材质，符合 GB/T 5836</w:t>
            </w:r>
          </w:p>
        </w:tc>
      </w:tr>
      <w:tr w14:paraId="13A63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685" w:type="dxa"/>
            <w:shd w:val="clear" w:color="auto" w:fill="auto"/>
            <w:vAlign w:val="center"/>
          </w:tcPr>
          <w:p w14:paraId="7596E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断路器/漏电保护</w:t>
            </w:r>
          </w:p>
        </w:tc>
        <w:tc>
          <w:tcPr>
            <w:tcW w:w="6774" w:type="dxa"/>
            <w:shd w:val="clear" w:color="auto" w:fill="auto"/>
            <w:vAlign w:val="center"/>
          </w:tcPr>
          <w:p w14:paraId="08252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与既有配电系统匹配，符合 GB/T 14048；照明回路宜带漏电保护</w:t>
            </w:r>
          </w:p>
        </w:tc>
      </w:tr>
      <w:tr w14:paraId="607B0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685" w:type="dxa"/>
            <w:shd w:val="clear" w:color="auto" w:fill="auto"/>
            <w:vAlign w:val="center"/>
          </w:tcPr>
          <w:p w14:paraId="42AE5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辅材</w:t>
            </w:r>
          </w:p>
        </w:tc>
        <w:tc>
          <w:tcPr>
            <w:tcW w:w="6774" w:type="dxa"/>
            <w:shd w:val="clear" w:color="auto" w:fill="auto"/>
            <w:vAlign w:val="center"/>
          </w:tcPr>
          <w:p w14:paraId="26451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接线盒、绝缘胶带、标识牌等均为合格品</w:t>
            </w:r>
          </w:p>
        </w:tc>
      </w:tr>
    </w:tbl>
    <w:p w14:paraId="64F156E8">
      <w:pPr>
        <w:keepNext w:val="0"/>
        <w:keepLines w:val="0"/>
        <w:pageBreakBefore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/>
        <w:autoSpaceDN/>
        <w:bidi w:val="0"/>
        <w:adjustRightInd w:val="0"/>
        <w:spacing w:before="0" w:after="0"/>
        <w:outlineLvl w:val="9"/>
        <w:rPr>
          <w:rFonts w:hint="eastAsia"/>
          <w:b/>
          <w:bCs/>
          <w:lang w:bidi="ar"/>
        </w:rPr>
      </w:pPr>
      <w:bookmarkStart w:id="6" w:name="_Toc31898"/>
      <w:r>
        <w:rPr>
          <w:rFonts w:hint="eastAsia"/>
          <w:b/>
          <w:bCs/>
          <w:lang w:bidi="ar"/>
        </w:rPr>
        <w:t>3.2 施工技术要求</w:t>
      </w:r>
      <w:bookmarkEnd w:id="6"/>
    </w:p>
    <w:p w14:paraId="6E618B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outlineLvl w:val="9"/>
        <w:rPr>
          <w:rFonts w:hint="eastAsia"/>
        </w:rPr>
      </w:pPr>
      <w:r>
        <w:rPr>
          <w:rFonts w:hint="eastAsia"/>
        </w:rPr>
        <w:t xml:space="preserve">• </w:t>
      </w:r>
      <w:r>
        <w:rPr>
          <w:rFonts w:hint="eastAsia"/>
          <w:lang w:eastAsia="zh-CN"/>
        </w:rPr>
        <w:t>施工需符合</w:t>
      </w:r>
      <w:r>
        <w:rPr>
          <w:rFonts w:hint="eastAsia"/>
        </w:rPr>
        <w:t>《建筑电气工程施工质量验收规范》GB 50303、《民用建筑电气设计标准》GB 51348、《建筑照明设计标准》GB 50034</w:t>
      </w:r>
      <w:r>
        <w:rPr>
          <w:rFonts w:hint="eastAsia"/>
          <w:lang w:eastAsia="zh-CN"/>
        </w:rPr>
        <w:t>要求</w:t>
      </w:r>
      <w:r>
        <w:rPr>
          <w:rFonts w:hint="eastAsia"/>
        </w:rPr>
        <w:t>。</w:t>
      </w:r>
    </w:p>
    <w:p w14:paraId="0E637F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outlineLvl w:val="9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• 照明回路与插座回路分开布设；开关需控制相线；接地（PE）连接可靠。</w:t>
      </w:r>
    </w:p>
    <w:p w14:paraId="4B42E3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outlineLvl w:val="9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• 布线做到横平竖直，全程穿管保护，所有接头须设置在接线盒内，严禁导线裸露在外。</w:t>
      </w:r>
    </w:p>
    <w:p w14:paraId="7F8FBE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outlineLvl w:val="9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• 作业前须完成停电、验电流程，悬挂安全警示标识，严禁带电作业；同时做好成品保护工作。</w:t>
      </w:r>
    </w:p>
    <w:p w14:paraId="5B131E2E">
      <w:pPr>
        <w:keepNext w:val="0"/>
        <w:keepLines w:val="0"/>
        <w:pageBreakBefore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/>
        <w:autoSpaceDN/>
        <w:bidi w:val="0"/>
        <w:adjustRightInd w:val="0"/>
        <w:spacing w:before="0" w:after="0"/>
        <w:outlineLvl w:val="9"/>
        <w:rPr>
          <w:rFonts w:hint="eastAsia"/>
          <w:b/>
          <w:bCs/>
          <w:lang w:bidi="ar"/>
        </w:rPr>
      </w:pPr>
      <w:bookmarkStart w:id="7" w:name="_Toc15837"/>
      <w:r>
        <w:rPr>
          <w:rFonts w:hint="eastAsia"/>
          <w:b/>
          <w:bCs/>
          <w:lang w:bidi="ar"/>
        </w:rPr>
        <w:t>3.3 验收标准</w:t>
      </w:r>
      <w:bookmarkEnd w:id="7"/>
    </w:p>
    <w:p w14:paraId="7ABE4C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outlineLvl w:val="9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• 通电正常，开关控制灵敏可靠，无漏电、无过热、无异响情况。</w:t>
      </w:r>
    </w:p>
    <w:p w14:paraId="60E01F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outlineLvl w:val="9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• 回路绝缘电阻测试合格（≥ 0.5 MΩ），需出具正式测试记录。</w:t>
      </w:r>
    </w:p>
    <w:p w14:paraId="26F64B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outlineLvl w:val="9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• 回路标识清晰完整，竣工资料（点位图/回路清单）齐全规范。</w:t>
      </w:r>
    </w:p>
    <w:p w14:paraId="38B053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outlineLvl w:val="9"/>
        <w:rPr>
          <w:rFonts w:hint="eastAsia"/>
        </w:rPr>
      </w:pPr>
      <w:r>
        <w:rPr>
          <w:rFonts w:hint="eastAsia"/>
        </w:rPr>
        <w:t xml:space="preserve">• </w:t>
      </w:r>
      <w:r>
        <w:rPr>
          <w:rFonts w:hint="eastAsia"/>
          <w:lang w:eastAsia="zh-CN"/>
        </w:rPr>
        <w:t>最终需</w:t>
      </w:r>
      <w:r>
        <w:rPr>
          <w:rFonts w:hint="eastAsia"/>
        </w:rPr>
        <w:t>经甲方现场验收合格。</w:t>
      </w:r>
    </w:p>
    <w:p w14:paraId="07959E47">
      <w:pPr>
        <w:keepNext w:val="0"/>
        <w:keepLines w:val="0"/>
        <w:pageBreakBefore w:val="0"/>
        <w:numPr>
          <w:ilvl w:val="0"/>
          <w:numId w:val="0"/>
        </w:numPr>
        <w:tabs>
          <w:tab w:val="left" w:pos="384"/>
        </w:tabs>
        <w:kinsoku/>
        <w:wordWrap/>
        <w:overflowPunct/>
        <w:topLinePunct w:val="0"/>
        <w:autoSpaceDE/>
        <w:autoSpaceDN/>
        <w:bidi w:val="0"/>
        <w:adjustRightInd w:val="0"/>
        <w:outlineLvl w:val="9"/>
        <w:rPr>
          <w:rFonts w:hint="default"/>
          <w:lang w:val="en-US" w:eastAsia="zh-CN" w:bidi="ar"/>
        </w:rPr>
      </w:pPr>
      <w:bookmarkStart w:id="8" w:name="_Toc29887"/>
      <w:r>
        <w:rPr>
          <w:rFonts w:hint="eastAsia"/>
          <w:lang w:val="en-US" w:eastAsia="zh-CN" w:bidi="ar"/>
        </w:rPr>
        <w:t>4供应商资质要求</w:t>
      </w:r>
      <w:bookmarkEnd w:id="8"/>
    </w:p>
    <w:p w14:paraId="409D86B7">
      <w:pPr>
        <w:keepNext w:val="0"/>
        <w:keepLines w:val="0"/>
        <w:pageBreakBefore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/>
        <w:autoSpaceDN/>
        <w:bidi w:val="0"/>
        <w:adjustRightInd w:val="0"/>
        <w:spacing w:before="0" w:after="0"/>
        <w:outlineLvl w:val="9"/>
        <w:rPr>
          <w:rFonts w:hint="eastAsia"/>
          <w:b/>
          <w:bCs/>
          <w:lang w:val="en-US" w:eastAsia="zh-CN" w:bidi="ar"/>
        </w:rPr>
      </w:pPr>
      <w:bookmarkStart w:id="9" w:name="_Toc24840"/>
      <w:r>
        <w:rPr>
          <w:rFonts w:hint="eastAsia"/>
          <w:b/>
          <w:bCs/>
          <w:lang w:val="en-US" w:eastAsia="zh-CN" w:bidi="ar"/>
        </w:rPr>
        <w:t>4.1企业资质</w:t>
      </w:r>
      <w:bookmarkEnd w:id="9"/>
    </w:p>
    <w:tbl>
      <w:tblPr>
        <w:tblStyle w:val="30"/>
        <w:tblW w:w="89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3"/>
        <w:gridCol w:w="2600"/>
        <w:gridCol w:w="4120"/>
      </w:tblGrid>
      <w:tr w14:paraId="3AE07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2243" w:type="dxa"/>
            <w:shd w:val="clear" w:color="auto" w:fill="auto"/>
          </w:tcPr>
          <w:p w14:paraId="71FD1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</w:rPr>
              <w:t>资质</w:t>
            </w:r>
          </w:p>
        </w:tc>
        <w:tc>
          <w:tcPr>
            <w:tcW w:w="2600" w:type="dxa"/>
            <w:shd w:val="clear" w:color="auto" w:fill="auto"/>
          </w:tcPr>
          <w:p w14:paraId="60149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</w:rPr>
              <w:t>要求</w:t>
            </w:r>
          </w:p>
        </w:tc>
        <w:tc>
          <w:tcPr>
            <w:tcW w:w="4120" w:type="dxa"/>
            <w:shd w:val="clear" w:color="auto" w:fill="auto"/>
          </w:tcPr>
          <w:p w14:paraId="451CA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</w:rPr>
              <w:t>作用 / 说明</w:t>
            </w:r>
          </w:p>
        </w:tc>
      </w:tr>
      <w:tr w14:paraId="1EE23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2243" w:type="dxa"/>
            <w:shd w:val="clear" w:color="auto" w:fill="auto"/>
          </w:tcPr>
          <w:p w14:paraId="30951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安全生产许可证</w:t>
            </w:r>
          </w:p>
        </w:tc>
        <w:tc>
          <w:tcPr>
            <w:tcW w:w="2600" w:type="dxa"/>
            <w:shd w:val="clear" w:color="auto" w:fill="auto"/>
          </w:tcPr>
          <w:p w14:paraId="7DAF0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有效期内，施工期内不过期</w:t>
            </w:r>
          </w:p>
        </w:tc>
        <w:tc>
          <w:tcPr>
            <w:tcW w:w="4120" w:type="dxa"/>
            <w:shd w:val="clear" w:color="auto" w:fill="auto"/>
          </w:tcPr>
          <w:p w14:paraId="0529F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法定准入，无证严禁进场施工</w:t>
            </w:r>
          </w:p>
        </w:tc>
      </w:tr>
      <w:tr w14:paraId="1AEDE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2243" w:type="dxa"/>
            <w:shd w:val="clear" w:color="auto" w:fill="auto"/>
          </w:tcPr>
          <w:p w14:paraId="0231D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建筑机电安装工程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专业承包资质</w:t>
            </w:r>
          </w:p>
        </w:tc>
        <w:tc>
          <w:tcPr>
            <w:tcW w:w="2600" w:type="dxa"/>
            <w:shd w:val="clear" w:color="auto" w:fill="auto"/>
          </w:tcPr>
          <w:p w14:paraId="131C1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三级及以上（改革后乙级及以上）</w:t>
            </w:r>
          </w:p>
        </w:tc>
        <w:tc>
          <w:tcPr>
            <w:tcW w:w="4120" w:type="dxa"/>
            <w:shd w:val="clear" w:color="auto" w:fill="auto"/>
          </w:tcPr>
          <w:p w14:paraId="7CD18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本项目电气安装主体资质（照明回路改造 / 开关安装）</w:t>
            </w:r>
          </w:p>
        </w:tc>
      </w:tr>
      <w:tr w14:paraId="3546F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2243" w:type="dxa"/>
            <w:shd w:val="clear" w:color="auto" w:fill="auto"/>
          </w:tcPr>
          <w:p w14:paraId="48EA6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建筑装修装饰工程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专业承包资质</w:t>
            </w:r>
          </w:p>
        </w:tc>
        <w:tc>
          <w:tcPr>
            <w:tcW w:w="2600" w:type="dxa"/>
            <w:shd w:val="clear" w:color="auto" w:fill="auto"/>
          </w:tcPr>
          <w:p w14:paraId="7525B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二级及以上（如含开槽 / 吊顶恢复）</w:t>
            </w:r>
          </w:p>
        </w:tc>
        <w:tc>
          <w:tcPr>
            <w:tcW w:w="4120" w:type="dxa"/>
            <w:shd w:val="clear" w:color="auto" w:fill="auto"/>
          </w:tcPr>
          <w:p w14:paraId="22643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承接墙面开槽、吊顶拆除复原等土建配套</w:t>
            </w:r>
          </w:p>
        </w:tc>
      </w:tr>
      <w:tr w14:paraId="30D32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  <w:jc w:val="center"/>
        </w:trPr>
        <w:tc>
          <w:tcPr>
            <w:tcW w:w="2243" w:type="dxa"/>
            <w:shd w:val="clear" w:color="auto" w:fill="auto"/>
          </w:tcPr>
          <w:p w14:paraId="3DD1C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承装（修、试）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电力设施许可证</w:t>
            </w:r>
          </w:p>
        </w:tc>
        <w:tc>
          <w:tcPr>
            <w:tcW w:w="2600" w:type="dxa"/>
            <w:shd w:val="clear" w:color="auto" w:fill="auto"/>
          </w:tcPr>
          <w:p w14:paraId="35E8F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承装类三级及以上（如涉及配电箱 / 低压配电盘回路改造）</w:t>
            </w:r>
          </w:p>
        </w:tc>
        <w:tc>
          <w:tcPr>
            <w:tcW w:w="4120" w:type="dxa"/>
            <w:shd w:val="clear" w:color="auto" w:fill="auto"/>
          </w:tcPr>
          <w:p w14:paraId="257D1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涉及用户低压配电盘改造时的专项许可</w:t>
            </w:r>
          </w:p>
        </w:tc>
      </w:tr>
    </w:tbl>
    <w:p w14:paraId="71A722E5">
      <w:pPr>
        <w:keepNext w:val="0"/>
        <w:keepLines w:val="0"/>
        <w:pageBreakBefore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/>
        <w:autoSpaceDN/>
        <w:bidi w:val="0"/>
        <w:spacing w:before="0" w:after="0"/>
        <w:outlineLvl w:val="9"/>
        <w:rPr>
          <w:rFonts w:hint="default"/>
          <w:b/>
          <w:bCs/>
          <w:lang w:val="en-US" w:eastAsia="zh-CN" w:bidi="ar"/>
        </w:rPr>
      </w:pPr>
      <w:bookmarkStart w:id="10" w:name="_Toc9875"/>
      <w:r>
        <w:rPr>
          <w:rFonts w:hint="eastAsia"/>
          <w:b/>
          <w:bCs/>
          <w:lang w:val="en-US" w:eastAsia="zh-CN" w:bidi="ar"/>
        </w:rPr>
        <w:t>4.2人员资质</w:t>
      </w:r>
      <w:bookmarkEnd w:id="10"/>
    </w:p>
    <w:tbl>
      <w:tblPr>
        <w:tblStyle w:val="30"/>
        <w:tblW w:w="85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725"/>
      </w:tblGrid>
      <w:tr w14:paraId="26603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814" w:type="dxa"/>
            <w:shd w:val="clear" w:color="auto" w:fill="auto"/>
            <w:vAlign w:val="center"/>
          </w:tcPr>
          <w:p w14:paraId="23B72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</w:rPr>
              <w:t>岗位</w:t>
            </w:r>
          </w:p>
        </w:tc>
        <w:tc>
          <w:tcPr>
            <w:tcW w:w="6725" w:type="dxa"/>
            <w:shd w:val="clear" w:color="auto" w:fill="auto"/>
            <w:vAlign w:val="center"/>
          </w:tcPr>
          <w:p w14:paraId="403E3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</w:rPr>
              <w:t>持证要求</w:t>
            </w:r>
          </w:p>
        </w:tc>
      </w:tr>
      <w:tr w14:paraId="452B7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814" w:type="dxa"/>
            <w:shd w:val="clear" w:color="auto" w:fill="auto"/>
            <w:vAlign w:val="center"/>
          </w:tcPr>
          <w:p w14:paraId="50262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项目负责人</w:t>
            </w:r>
          </w:p>
        </w:tc>
        <w:tc>
          <w:tcPr>
            <w:tcW w:w="6725" w:type="dxa"/>
            <w:shd w:val="clear" w:color="auto" w:fill="auto"/>
            <w:vAlign w:val="center"/>
          </w:tcPr>
          <w:p w14:paraId="5C717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机电工程专业注册建造师（二级及以上）或电气相关中级及以上职称</w:t>
            </w:r>
          </w:p>
        </w:tc>
      </w:tr>
      <w:tr w14:paraId="648B4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814" w:type="dxa"/>
            <w:shd w:val="clear" w:color="auto" w:fill="auto"/>
            <w:vAlign w:val="center"/>
          </w:tcPr>
          <w:p w14:paraId="7E22E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施工电工</w:t>
            </w:r>
          </w:p>
        </w:tc>
        <w:tc>
          <w:tcPr>
            <w:tcW w:w="6725" w:type="dxa"/>
            <w:shd w:val="clear" w:color="auto" w:fill="auto"/>
            <w:vAlign w:val="center"/>
          </w:tcPr>
          <w:p w14:paraId="3CACC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低压电工特种作业操作证（应急管理部门核发），持证上岗</w:t>
            </w:r>
          </w:p>
        </w:tc>
      </w:tr>
      <w:tr w14:paraId="62DC2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814" w:type="dxa"/>
            <w:shd w:val="clear" w:color="auto" w:fill="auto"/>
            <w:vAlign w:val="center"/>
          </w:tcPr>
          <w:p w14:paraId="26F07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高处作业人员</w:t>
            </w:r>
          </w:p>
        </w:tc>
        <w:tc>
          <w:tcPr>
            <w:tcW w:w="6725" w:type="dxa"/>
            <w:shd w:val="clear" w:color="auto" w:fill="auto"/>
            <w:vAlign w:val="center"/>
          </w:tcPr>
          <w:p w14:paraId="61D37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高处作业特种作业操作证（涉及登高 / 吊顶作业时）</w:t>
            </w:r>
          </w:p>
        </w:tc>
      </w:tr>
      <w:tr w14:paraId="30B82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814" w:type="dxa"/>
            <w:shd w:val="clear" w:color="auto" w:fill="auto"/>
            <w:vAlign w:val="center"/>
          </w:tcPr>
          <w:p w14:paraId="11522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专职安全员</w:t>
            </w:r>
          </w:p>
        </w:tc>
        <w:tc>
          <w:tcPr>
            <w:tcW w:w="6725" w:type="dxa"/>
            <w:shd w:val="clear" w:color="auto" w:fill="auto"/>
            <w:vAlign w:val="center"/>
          </w:tcPr>
          <w:p w14:paraId="71DCC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安全生产考核合格证（C 证）</w:t>
            </w:r>
          </w:p>
        </w:tc>
      </w:tr>
    </w:tbl>
    <w:p w14:paraId="0B82A2EB">
      <w:pPr>
        <w:keepNext w:val="0"/>
        <w:keepLines w:val="0"/>
        <w:pageBreakBefore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/>
        <w:autoSpaceDN/>
        <w:bidi w:val="0"/>
        <w:adjustRightInd w:val="0"/>
        <w:spacing w:before="0" w:after="0"/>
        <w:outlineLvl w:val="9"/>
        <w:rPr>
          <w:rFonts w:hint="eastAsia"/>
          <w:b/>
          <w:bCs/>
          <w:lang w:val="en-US" w:eastAsia="zh-CN" w:bidi="ar"/>
        </w:rPr>
      </w:pPr>
      <w:bookmarkStart w:id="11" w:name="_Toc16171"/>
      <w:r>
        <w:rPr>
          <w:rFonts w:hint="eastAsia"/>
          <w:b/>
          <w:bCs/>
          <w:lang w:val="en-US" w:eastAsia="zh-CN" w:bidi="ar"/>
        </w:rPr>
        <w:t>4.3 优选条件</w:t>
      </w:r>
      <w:bookmarkEnd w:id="11"/>
    </w:p>
    <w:p w14:paraId="0060D7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outlineLvl w:val="9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• 已通过ISO 9001/14001/45001三体系认证。</w:t>
      </w:r>
    </w:p>
    <w:p w14:paraId="0727E5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outlineLvl w:val="9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• 近3年内拥有同类照明或电气改造工程业绩，需提供对应合同或验收证明。</w:t>
      </w:r>
    </w:p>
    <w:p w14:paraId="351D40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outlineLvl w:val="9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• 配备本地化服务团队，售后响应及时高效。</w:t>
      </w:r>
    </w:p>
    <w:p w14:paraId="2A2B30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outlineLvl w:val="9"/>
        <w:rPr>
          <w:rFonts w:hint="eastAsia"/>
        </w:rPr>
      </w:pPr>
      <w:r>
        <w:rPr>
          <w:rFonts w:hint="eastAsia"/>
        </w:rPr>
        <w:t>• 在国家企业信用信息公示系统</w:t>
      </w:r>
      <w:r>
        <w:rPr>
          <w:rFonts w:hint="eastAsia"/>
          <w:lang w:eastAsia="zh-CN"/>
        </w:rPr>
        <w:t>中</w:t>
      </w:r>
      <w:r>
        <w:rPr>
          <w:rFonts w:hint="eastAsia"/>
        </w:rPr>
        <w:t>无经营异常、无严重违法失信记录。</w:t>
      </w:r>
    </w:p>
    <w:p w14:paraId="7084FB8E">
      <w:pPr>
        <w:keepNext w:val="0"/>
        <w:keepLines w:val="0"/>
        <w:pageBreakBefore w:val="0"/>
        <w:numPr>
          <w:ilvl w:val="0"/>
          <w:numId w:val="0"/>
        </w:numPr>
        <w:tabs>
          <w:tab w:val="left" w:pos="384"/>
        </w:tabs>
        <w:kinsoku/>
        <w:wordWrap/>
        <w:overflowPunct/>
        <w:topLinePunct w:val="0"/>
        <w:autoSpaceDE/>
        <w:autoSpaceDN/>
        <w:bidi w:val="0"/>
        <w:adjustRightInd w:val="0"/>
        <w:outlineLvl w:val="9"/>
        <w:rPr>
          <w:rFonts w:hint="eastAsia"/>
          <w:lang w:val="en-US" w:eastAsia="zh-CN" w:bidi="ar"/>
        </w:rPr>
      </w:pPr>
      <w:bookmarkStart w:id="12" w:name="_Toc24678"/>
      <w:r>
        <w:rPr>
          <w:rFonts w:hint="eastAsia"/>
          <w:lang w:val="en-US" w:eastAsia="zh-CN" w:bidi="ar"/>
        </w:rPr>
        <w:t>5商务要求</w:t>
      </w:r>
      <w:bookmarkEnd w:id="12"/>
    </w:p>
    <w:p w14:paraId="05A6421D">
      <w:pPr>
        <w:keepNext w:val="0"/>
        <w:keepLines w:val="0"/>
        <w:pageBreakBefore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/>
        <w:autoSpaceDN/>
        <w:bidi w:val="0"/>
        <w:adjustRightInd w:val="0"/>
        <w:spacing w:before="0" w:after="0"/>
        <w:outlineLvl w:val="9"/>
        <w:rPr>
          <w:rFonts w:hint="eastAsia"/>
          <w:b/>
          <w:bCs/>
          <w:lang w:val="en-US" w:eastAsia="zh-CN" w:bidi="ar"/>
        </w:rPr>
      </w:pPr>
      <w:bookmarkStart w:id="13" w:name="_Toc1952"/>
      <w:r>
        <w:rPr>
          <w:rFonts w:hint="eastAsia"/>
          <w:b/>
          <w:bCs/>
          <w:lang w:val="en-US" w:eastAsia="zh-CN" w:bidi="ar"/>
        </w:rPr>
        <w:t>5.1 报价要求</w:t>
      </w:r>
      <w:bookmarkEnd w:id="13"/>
    </w:p>
    <w:p w14:paraId="2D1B78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outlineLvl w:val="9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• 按点位/工程量清单实行包干报价，报价涵盖材料费、人工费、辅材费、开槽恢复费、调试费、税费及安全文明施工费，需一次性报出总价。</w:t>
      </w:r>
    </w:p>
    <w:p w14:paraId="45F953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outlineLvl w:val="9"/>
        <w:rPr>
          <w:rFonts w:hint="eastAsia" w:eastAsia="宋体"/>
          <w:lang w:eastAsia="zh-CN"/>
        </w:rPr>
      </w:pPr>
      <w:r>
        <w:rPr>
          <w:rFonts w:hint="eastAsia"/>
        </w:rPr>
        <w:t>• 需列明主要材料的品牌、规格、型号，</w:t>
      </w:r>
      <w:r>
        <w:rPr>
          <w:rFonts w:hint="eastAsia"/>
          <w:lang w:eastAsia="zh-CN"/>
        </w:rPr>
        <w:t>严禁</w:t>
      </w:r>
      <w:r>
        <w:rPr>
          <w:rFonts w:hint="eastAsia"/>
        </w:rPr>
        <w:t>以次充好。</w:t>
      </w:r>
    </w:p>
    <w:p w14:paraId="5FF5C725">
      <w:pPr>
        <w:keepNext w:val="0"/>
        <w:keepLines w:val="0"/>
        <w:pageBreakBefore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/>
        <w:autoSpaceDN/>
        <w:bidi w:val="0"/>
        <w:adjustRightInd w:val="0"/>
        <w:spacing w:before="0" w:after="0"/>
        <w:outlineLvl w:val="9"/>
        <w:rPr>
          <w:rFonts w:hint="eastAsia"/>
          <w:b/>
          <w:bCs/>
          <w:lang w:val="en-US" w:eastAsia="zh-CN" w:bidi="ar"/>
        </w:rPr>
      </w:pPr>
      <w:bookmarkStart w:id="14" w:name="_Toc19812"/>
      <w:r>
        <w:rPr>
          <w:rFonts w:hint="eastAsia"/>
          <w:b/>
          <w:bCs/>
          <w:lang w:val="en-US" w:eastAsia="zh-CN" w:bidi="ar"/>
        </w:rPr>
        <w:t>5.2 工期要求</w:t>
      </w:r>
      <w:bookmarkEnd w:id="14"/>
    </w:p>
    <w:p w14:paraId="24F4B6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outlineLvl w:val="9"/>
        <w:rPr>
          <w:rFonts w:hint="eastAsia"/>
        </w:rPr>
      </w:pPr>
      <w:r>
        <w:rPr>
          <w:rFonts w:hint="eastAsia"/>
        </w:rPr>
        <w:t>• 合同签订后</w:t>
      </w:r>
      <w:r>
        <w:rPr>
          <w:rFonts w:hint="eastAsia"/>
          <w:lang w:val="en-US" w:eastAsia="zh-CN"/>
        </w:rPr>
        <w:t>10</w:t>
      </w:r>
      <w:r>
        <w:rPr>
          <w:rFonts w:hint="eastAsia"/>
        </w:rPr>
        <w:t>个日历日内完工。</w:t>
      </w:r>
    </w:p>
    <w:p w14:paraId="00E04F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outlineLvl w:val="9"/>
        <w:rPr>
          <w:rFonts w:hint="eastAsia"/>
          <w:lang w:eastAsia="zh-CN"/>
        </w:rPr>
      </w:pPr>
      <w:r>
        <w:rPr>
          <w:rFonts w:hint="eastAsia"/>
          <w:lang w:eastAsia="zh-CN"/>
        </w:rPr>
        <w:t>• 施工不得影响场地正常办公；产生噪声、粉尘的作业须安排在非办公时段或周末开展，作业前须提前报备。</w:t>
      </w:r>
    </w:p>
    <w:p w14:paraId="65773F7B">
      <w:pPr>
        <w:keepNext w:val="0"/>
        <w:keepLines w:val="0"/>
        <w:pageBreakBefore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/>
        <w:autoSpaceDN/>
        <w:bidi w:val="0"/>
        <w:adjustRightInd w:val="0"/>
        <w:spacing w:before="0" w:after="0"/>
        <w:outlineLvl w:val="9"/>
        <w:rPr>
          <w:rFonts w:hint="eastAsia"/>
          <w:b/>
          <w:bCs/>
          <w:lang w:val="en-US" w:eastAsia="zh-CN" w:bidi="ar"/>
        </w:rPr>
      </w:pPr>
      <w:bookmarkStart w:id="15" w:name="_Toc29996"/>
      <w:r>
        <w:rPr>
          <w:rFonts w:hint="eastAsia"/>
          <w:b/>
          <w:bCs/>
          <w:lang w:val="en-US" w:eastAsia="zh-CN" w:bidi="ar"/>
        </w:rPr>
        <w:t>5.3 付款方式</w:t>
      </w:r>
      <w:bookmarkEnd w:id="15"/>
    </w:p>
    <w:p w14:paraId="2F2B7E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outlineLvl w:val="9"/>
        <w:rPr>
          <w:rFonts w:hint="eastAsia"/>
          <w:lang w:eastAsia="zh-CN"/>
        </w:rPr>
      </w:pPr>
      <w:r>
        <w:rPr>
          <w:rFonts w:hint="eastAsia"/>
          <w:lang w:eastAsia="zh-CN"/>
        </w:rPr>
        <w:t>• 工程验收合格后支付合同总价款的95%；剩余5%作为质保金，质保期满且无质量问题后结清余款。</w:t>
      </w:r>
    </w:p>
    <w:p w14:paraId="4497365C">
      <w:pPr>
        <w:keepNext w:val="0"/>
        <w:keepLines w:val="0"/>
        <w:pageBreakBefore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/>
        <w:autoSpaceDN/>
        <w:bidi w:val="0"/>
        <w:adjustRightInd w:val="0"/>
        <w:spacing w:before="0" w:after="0"/>
        <w:outlineLvl w:val="9"/>
        <w:rPr>
          <w:rFonts w:hint="eastAsia"/>
          <w:b/>
          <w:bCs/>
          <w:lang w:val="en-US" w:eastAsia="zh-CN" w:bidi="ar"/>
        </w:rPr>
      </w:pPr>
      <w:bookmarkStart w:id="16" w:name="_Toc20554"/>
      <w:r>
        <w:rPr>
          <w:rFonts w:hint="eastAsia"/>
          <w:b/>
          <w:bCs/>
          <w:lang w:val="en-US" w:eastAsia="zh-CN" w:bidi="ar"/>
        </w:rPr>
        <w:t>5.4 质保要求</w:t>
      </w:r>
      <w:bookmarkEnd w:id="16"/>
    </w:p>
    <w:p w14:paraId="07F89D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outlineLvl w:val="9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• 工程整体质保期限不少于2年；开关面板、线材等材料执行厂家原厂质保（质保期限不低于2年，以期限较长者为准）。</w:t>
      </w:r>
    </w:p>
    <w:p w14:paraId="35F235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outlineLvl w:val="9"/>
        <w:rPr>
          <w:rFonts w:hint="eastAsia"/>
          <w:lang w:eastAsia="zh-CN"/>
        </w:rPr>
      </w:pPr>
      <w:r>
        <w:rPr>
          <w:rFonts w:hint="eastAsia"/>
          <w:lang w:eastAsia="zh-CN"/>
        </w:rPr>
        <w:t>• 质保期内非人为损坏的故障，供应商负责免费维修或更换；人为损坏、擅自拆改导致的故障不在质保范围内。</w:t>
      </w:r>
    </w:p>
    <w:p w14:paraId="061761A3">
      <w:pPr>
        <w:keepNext w:val="0"/>
        <w:keepLines w:val="0"/>
        <w:pageBreakBefore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/>
        <w:autoSpaceDN/>
        <w:bidi w:val="0"/>
        <w:adjustRightInd w:val="0"/>
        <w:spacing w:before="0" w:after="0"/>
        <w:outlineLvl w:val="9"/>
        <w:rPr>
          <w:rFonts w:hint="eastAsia"/>
          <w:b/>
          <w:bCs/>
          <w:lang w:val="en-US" w:eastAsia="zh-CN" w:bidi="ar"/>
        </w:rPr>
      </w:pPr>
      <w:bookmarkStart w:id="17" w:name="_Toc20098"/>
      <w:r>
        <w:rPr>
          <w:rFonts w:hint="eastAsia"/>
          <w:b/>
          <w:bCs/>
          <w:lang w:val="en-US" w:eastAsia="zh-CN" w:bidi="ar"/>
        </w:rPr>
        <w:t>5.5 安全文明施工</w:t>
      </w:r>
      <w:bookmarkEnd w:id="17"/>
    </w:p>
    <w:p w14:paraId="5DF005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outlineLvl w:val="9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• 供应商须遵守办公场地管理规定，落实用电安全防护、成品保护与施工垃圾清运工作；施工期间发生安全事故，由供应商承担全部责任。</w:t>
      </w:r>
    </w:p>
    <w:p w14:paraId="7C5339B7">
      <w:pPr>
        <w:keepNext w:val="0"/>
        <w:keepLines w:val="0"/>
        <w:pageBreakBefore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/>
        <w:autoSpaceDN/>
        <w:bidi w:val="0"/>
        <w:adjustRightInd w:val="0"/>
        <w:spacing w:before="0" w:after="0"/>
        <w:outlineLvl w:val="9"/>
        <w:rPr>
          <w:rFonts w:hint="eastAsia"/>
          <w:b/>
          <w:bCs/>
          <w:lang w:val="en-US" w:eastAsia="zh-CN" w:bidi="ar"/>
        </w:rPr>
      </w:pPr>
      <w:bookmarkStart w:id="18" w:name="_Toc20567"/>
      <w:r>
        <w:rPr>
          <w:rFonts w:hint="eastAsia"/>
          <w:b/>
          <w:bCs/>
          <w:lang w:val="en-US" w:eastAsia="zh-CN" w:bidi="ar"/>
        </w:rPr>
        <w:t>5.6进度要求</w:t>
      </w:r>
      <w:bookmarkEnd w:id="18"/>
    </w:p>
    <w:tbl>
      <w:tblPr>
        <w:tblStyle w:val="29"/>
        <w:tblW w:w="523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905"/>
        <w:gridCol w:w="2400"/>
        <w:gridCol w:w="1202"/>
        <w:gridCol w:w="2384"/>
      </w:tblGrid>
      <w:tr w14:paraId="1D72E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55" w:type="pct"/>
            <w:vAlign w:val="center"/>
          </w:tcPr>
          <w:p w14:paraId="1FDA2069">
            <w:pPr>
              <w:adjustRightInd/>
              <w:snapToGrid/>
              <w:ind w:firstLine="0" w:firstLineChars="0"/>
              <w:jc w:val="center"/>
              <w:rPr>
                <w:rFonts w:ascii="宋体" w:hAnsi="宋体"/>
                <w:b w:val="0"/>
                <w:bCs w:val="0"/>
                <w:kern w:val="0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Cs w:val="24"/>
              </w:rPr>
              <w:t>序号</w:t>
            </w:r>
          </w:p>
        </w:tc>
        <w:tc>
          <w:tcPr>
            <w:tcW w:w="1097" w:type="pct"/>
            <w:vAlign w:val="center"/>
          </w:tcPr>
          <w:p w14:paraId="0E1A2A99">
            <w:pPr>
              <w:adjustRightInd/>
              <w:snapToGrid/>
              <w:ind w:firstLine="0" w:firstLineChars="0"/>
              <w:jc w:val="center"/>
              <w:rPr>
                <w:rFonts w:ascii="宋体" w:hAnsi="宋体"/>
                <w:b w:val="0"/>
                <w:bCs w:val="0"/>
                <w:kern w:val="0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Cs w:val="24"/>
              </w:rPr>
              <w:t>任务描述</w:t>
            </w:r>
          </w:p>
        </w:tc>
        <w:tc>
          <w:tcPr>
            <w:tcW w:w="1382" w:type="pct"/>
            <w:vAlign w:val="center"/>
          </w:tcPr>
          <w:p w14:paraId="1CE0E9E1">
            <w:pPr>
              <w:adjustRightInd/>
              <w:snapToGrid/>
              <w:ind w:firstLine="0" w:firstLineChars="0"/>
              <w:jc w:val="center"/>
              <w:rPr>
                <w:rFonts w:ascii="宋体" w:hAnsi="宋体"/>
                <w:b w:val="0"/>
                <w:bCs w:val="0"/>
                <w:kern w:val="0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Cs w:val="24"/>
              </w:rPr>
              <w:t>交付成果</w:t>
            </w:r>
          </w:p>
        </w:tc>
        <w:tc>
          <w:tcPr>
            <w:tcW w:w="692" w:type="pct"/>
            <w:vAlign w:val="center"/>
          </w:tcPr>
          <w:p w14:paraId="7B791C59">
            <w:pPr>
              <w:adjustRightInd/>
              <w:snapToGrid/>
              <w:ind w:firstLine="0" w:firstLineChars="0"/>
              <w:jc w:val="center"/>
              <w:rPr>
                <w:rFonts w:ascii="宋体" w:hAnsi="宋体"/>
                <w:b w:val="0"/>
                <w:bCs w:val="0"/>
                <w:kern w:val="0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Cs w:val="24"/>
              </w:rPr>
              <w:t>交付时间</w:t>
            </w:r>
          </w:p>
        </w:tc>
        <w:tc>
          <w:tcPr>
            <w:tcW w:w="1372" w:type="pct"/>
            <w:vAlign w:val="center"/>
          </w:tcPr>
          <w:p w14:paraId="70418AB3">
            <w:pPr>
              <w:adjustRightInd/>
              <w:snapToGrid/>
              <w:ind w:firstLine="0" w:firstLineChars="0"/>
              <w:jc w:val="center"/>
              <w:rPr>
                <w:rFonts w:ascii="宋体" w:hAnsi="宋体"/>
                <w:b w:val="0"/>
                <w:bCs w:val="0"/>
                <w:kern w:val="0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Cs w:val="24"/>
              </w:rPr>
              <w:t>备注</w:t>
            </w:r>
          </w:p>
        </w:tc>
      </w:tr>
      <w:tr w14:paraId="3A2B0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455" w:type="pct"/>
            <w:vAlign w:val="center"/>
          </w:tcPr>
          <w:p w14:paraId="5BD54599">
            <w:pPr>
              <w:adjustRightInd/>
              <w:snapToGrid/>
              <w:ind w:firstLine="0" w:firstLineChars="0"/>
              <w:jc w:val="center"/>
              <w:rPr>
                <w:rFonts w:ascii="宋体" w:hAnsi="宋体"/>
                <w:b w:val="0"/>
                <w:bCs w:val="0"/>
                <w:kern w:val="0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Cs w:val="24"/>
              </w:rPr>
              <w:t>1</w:t>
            </w:r>
          </w:p>
        </w:tc>
        <w:tc>
          <w:tcPr>
            <w:tcW w:w="1097" w:type="pct"/>
            <w:vAlign w:val="center"/>
          </w:tcPr>
          <w:p w14:paraId="1FDBD640">
            <w:pPr>
              <w:adjustRightInd/>
              <w:snapToGrid/>
              <w:ind w:firstLine="0" w:firstLineChars="0"/>
              <w:jc w:val="center"/>
              <w:rPr>
                <w:rFonts w:ascii="宋体" w:hAnsi="宋体"/>
                <w:b w:val="0"/>
                <w:bCs w:val="0"/>
                <w:kern w:val="0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Cs w:val="24"/>
              </w:rPr>
              <w:t>项目启动</w:t>
            </w:r>
          </w:p>
        </w:tc>
        <w:tc>
          <w:tcPr>
            <w:tcW w:w="1382" w:type="pct"/>
            <w:vAlign w:val="center"/>
          </w:tcPr>
          <w:p w14:paraId="4FB71CA8">
            <w:pPr>
              <w:adjustRightInd/>
              <w:snapToGrid/>
              <w:ind w:firstLine="0" w:firstLineChars="0"/>
              <w:jc w:val="center"/>
              <w:rPr>
                <w:rFonts w:ascii="宋体" w:hAnsi="宋体"/>
                <w:b w:val="0"/>
                <w:bCs w:val="0"/>
                <w:kern w:val="0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Cs w:val="24"/>
              </w:rPr>
              <w:t>合同签订</w:t>
            </w:r>
          </w:p>
        </w:tc>
        <w:tc>
          <w:tcPr>
            <w:tcW w:w="692" w:type="pct"/>
            <w:vAlign w:val="center"/>
          </w:tcPr>
          <w:p w14:paraId="3ED336D8">
            <w:pPr>
              <w:adjustRightInd/>
              <w:snapToGrid/>
              <w:ind w:firstLine="0" w:firstLineChars="0"/>
              <w:jc w:val="center"/>
              <w:rPr>
                <w:rFonts w:ascii="宋体" w:hAnsi="宋体"/>
                <w:b w:val="0"/>
                <w:bCs w:val="0"/>
                <w:kern w:val="0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Cs w:val="24"/>
              </w:rPr>
              <w:t>T</w:t>
            </w:r>
            <w:r>
              <w:rPr>
                <w:rFonts w:ascii="宋体" w:hAnsi="宋体"/>
                <w:b w:val="0"/>
                <w:bCs w:val="0"/>
                <w:kern w:val="0"/>
                <w:szCs w:val="24"/>
              </w:rPr>
              <w:t>0</w:t>
            </w:r>
          </w:p>
        </w:tc>
        <w:tc>
          <w:tcPr>
            <w:tcW w:w="1372" w:type="pct"/>
            <w:vAlign w:val="center"/>
          </w:tcPr>
          <w:p w14:paraId="47EBBFD4">
            <w:pPr>
              <w:adjustRightInd/>
              <w:snapToGrid/>
              <w:ind w:firstLine="0" w:firstLineChars="0"/>
              <w:jc w:val="center"/>
              <w:rPr>
                <w:rFonts w:ascii="宋体" w:hAnsi="宋体"/>
                <w:b w:val="0"/>
                <w:bCs w:val="0"/>
                <w:kern w:val="0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Cs w:val="24"/>
              </w:rPr>
              <w:t>T</w:t>
            </w:r>
            <w:r>
              <w:rPr>
                <w:rFonts w:ascii="宋体" w:hAnsi="宋体"/>
                <w:b w:val="0"/>
                <w:bCs w:val="0"/>
                <w:kern w:val="0"/>
                <w:szCs w:val="24"/>
              </w:rPr>
              <w:t>0</w:t>
            </w:r>
            <w:r>
              <w:rPr>
                <w:rFonts w:hint="eastAsia" w:ascii="宋体" w:hAnsi="宋体"/>
                <w:b w:val="0"/>
                <w:bCs w:val="0"/>
                <w:kern w:val="0"/>
                <w:szCs w:val="24"/>
              </w:rPr>
              <w:t>月为合同生效</w:t>
            </w:r>
          </w:p>
        </w:tc>
      </w:tr>
      <w:tr w14:paraId="4DD2E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455" w:type="pct"/>
            <w:vAlign w:val="center"/>
          </w:tcPr>
          <w:p w14:paraId="20A50CB4">
            <w:pPr>
              <w:adjustRightInd/>
              <w:snapToGrid/>
              <w:ind w:firstLine="0" w:firstLineChars="0"/>
              <w:jc w:val="center"/>
              <w:rPr>
                <w:rFonts w:ascii="宋体" w:hAnsi="宋体"/>
                <w:b w:val="0"/>
                <w:bCs w:val="0"/>
                <w:kern w:val="0"/>
                <w:szCs w:val="24"/>
              </w:rPr>
            </w:pPr>
            <w:r>
              <w:rPr>
                <w:rFonts w:ascii="宋体" w:hAnsi="宋体"/>
                <w:b w:val="0"/>
                <w:bCs w:val="0"/>
                <w:kern w:val="0"/>
                <w:szCs w:val="24"/>
              </w:rPr>
              <w:t>2</w:t>
            </w:r>
          </w:p>
        </w:tc>
        <w:tc>
          <w:tcPr>
            <w:tcW w:w="1097" w:type="pct"/>
            <w:vAlign w:val="center"/>
          </w:tcPr>
          <w:p w14:paraId="76E5264F">
            <w:pPr>
              <w:adjustRightInd/>
              <w:snapToGrid/>
              <w:ind w:firstLine="0" w:firstLineChars="0"/>
              <w:jc w:val="center"/>
              <w:rPr>
                <w:rFonts w:hint="default" w:ascii="宋体" w:hAnsi="宋体" w:eastAsia="宋体"/>
                <w:b w:val="0"/>
                <w:bCs w:val="0"/>
                <w:kern w:val="0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Cs w:val="24"/>
                <w:lang w:val="en-US" w:eastAsia="zh-CN"/>
              </w:rPr>
              <w:t>项目交付验收</w:t>
            </w:r>
          </w:p>
        </w:tc>
        <w:tc>
          <w:tcPr>
            <w:tcW w:w="1382" w:type="pct"/>
            <w:vAlign w:val="center"/>
          </w:tcPr>
          <w:p w14:paraId="4FFBAB7F">
            <w:pPr>
              <w:adjustRightInd/>
              <w:snapToGrid/>
              <w:ind w:firstLine="0" w:firstLineChars="0"/>
              <w:jc w:val="center"/>
              <w:rPr>
                <w:rFonts w:hint="default" w:ascii="宋体" w:hAnsi="宋体" w:eastAsia="宋体"/>
                <w:b w:val="0"/>
                <w:bCs w:val="0"/>
                <w:kern w:val="0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Cs w:val="24"/>
                <w:lang w:val="en-US" w:eastAsia="zh-CN"/>
              </w:rPr>
              <w:t>项目验收</w:t>
            </w:r>
          </w:p>
        </w:tc>
        <w:tc>
          <w:tcPr>
            <w:tcW w:w="692" w:type="pct"/>
            <w:vAlign w:val="center"/>
          </w:tcPr>
          <w:p w14:paraId="04EEF84A">
            <w:pPr>
              <w:adjustRightInd/>
              <w:snapToGrid/>
              <w:ind w:firstLine="0" w:firstLineChars="0"/>
              <w:jc w:val="center"/>
              <w:rPr>
                <w:rFonts w:hint="default" w:ascii="宋体" w:hAnsi="宋体" w:eastAsia="宋体"/>
                <w:b w:val="0"/>
                <w:bCs w:val="0"/>
                <w:kern w:val="0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Cs w:val="24"/>
              </w:rPr>
              <w:t>T</w:t>
            </w:r>
            <w:r>
              <w:rPr>
                <w:rFonts w:ascii="宋体" w:hAnsi="宋体"/>
                <w:b w:val="0"/>
                <w:bCs w:val="0"/>
                <w:kern w:val="0"/>
                <w:szCs w:val="24"/>
              </w:rPr>
              <w:t>0</w:t>
            </w:r>
            <w:r>
              <w:rPr>
                <w:rFonts w:hint="eastAsia" w:ascii="宋体" w:hAnsi="宋体"/>
                <w:b w:val="0"/>
                <w:bCs w:val="0"/>
                <w:kern w:val="0"/>
                <w:szCs w:val="24"/>
              </w:rPr>
              <w:t>+</w:t>
            </w:r>
            <w:r>
              <w:rPr>
                <w:rFonts w:hint="eastAsia" w:ascii="宋体" w:hAnsi="宋体"/>
                <w:b w:val="0"/>
                <w:bCs w:val="0"/>
                <w:kern w:val="0"/>
                <w:szCs w:val="24"/>
                <w:lang w:val="en-US" w:eastAsia="zh-CN"/>
              </w:rPr>
              <w:t>10天</w:t>
            </w:r>
          </w:p>
        </w:tc>
        <w:tc>
          <w:tcPr>
            <w:tcW w:w="1372" w:type="pct"/>
            <w:vAlign w:val="center"/>
          </w:tcPr>
          <w:p w14:paraId="5EB7D77E">
            <w:pPr>
              <w:adjustRightInd/>
              <w:snapToGrid/>
              <w:ind w:firstLine="0" w:firstLineChars="0"/>
              <w:jc w:val="center"/>
              <w:rPr>
                <w:rFonts w:hint="default" w:ascii="宋体" w:hAnsi="宋体" w:eastAsia="宋体"/>
                <w:b w:val="0"/>
                <w:bCs w:val="0"/>
                <w:kern w:val="0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Cs w:val="24"/>
                <w:lang w:val="en-US" w:eastAsia="zh-CN"/>
              </w:rPr>
              <w:t>支付合同总价款的95%</w:t>
            </w:r>
          </w:p>
        </w:tc>
      </w:tr>
      <w:tr w14:paraId="43FF3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455" w:type="pct"/>
            <w:vAlign w:val="center"/>
          </w:tcPr>
          <w:p w14:paraId="2F1538F7">
            <w:pPr>
              <w:adjustRightInd/>
              <w:snapToGrid/>
              <w:ind w:firstLine="0" w:firstLineChars="0"/>
              <w:jc w:val="center"/>
              <w:rPr>
                <w:rFonts w:ascii="宋体" w:hAnsi="宋体"/>
                <w:b w:val="0"/>
                <w:bCs w:val="0"/>
                <w:kern w:val="0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Cs w:val="24"/>
              </w:rPr>
              <w:t>3</w:t>
            </w:r>
          </w:p>
        </w:tc>
        <w:tc>
          <w:tcPr>
            <w:tcW w:w="1097" w:type="pct"/>
            <w:vAlign w:val="center"/>
          </w:tcPr>
          <w:p w14:paraId="5C3719FF">
            <w:pPr>
              <w:adjustRightInd/>
              <w:snapToGrid/>
              <w:ind w:firstLine="0" w:firstLineChars="0"/>
              <w:jc w:val="center"/>
              <w:rPr>
                <w:rFonts w:ascii="宋体" w:hAnsi="宋体"/>
                <w:b w:val="0"/>
                <w:bCs w:val="0"/>
                <w:kern w:val="0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Cs w:val="24"/>
                <w:lang w:val="en-US" w:eastAsia="zh-CN"/>
              </w:rPr>
              <w:t>1年</w:t>
            </w:r>
            <w:r>
              <w:rPr>
                <w:rFonts w:hint="eastAsia" w:ascii="宋体" w:hAnsi="宋体"/>
                <w:b w:val="0"/>
                <w:bCs w:val="0"/>
                <w:kern w:val="0"/>
                <w:szCs w:val="24"/>
              </w:rPr>
              <w:t>质保期</w:t>
            </w:r>
          </w:p>
        </w:tc>
        <w:tc>
          <w:tcPr>
            <w:tcW w:w="1382" w:type="pct"/>
            <w:vAlign w:val="center"/>
          </w:tcPr>
          <w:p w14:paraId="48ED234D">
            <w:pPr>
              <w:adjustRightInd/>
              <w:snapToGrid/>
              <w:ind w:firstLine="0" w:firstLineChars="0"/>
              <w:jc w:val="center"/>
              <w:rPr>
                <w:rFonts w:hint="eastAsia" w:eastAsia="宋体"/>
                <w:b w:val="0"/>
                <w:bCs w:val="0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Cs w:val="24"/>
                <w:lang w:val="en-US" w:eastAsia="zh-CN"/>
              </w:rPr>
              <w:t>质保期</w:t>
            </w:r>
          </w:p>
        </w:tc>
        <w:tc>
          <w:tcPr>
            <w:tcW w:w="692" w:type="pct"/>
            <w:vAlign w:val="center"/>
          </w:tcPr>
          <w:p w14:paraId="4C702EBE">
            <w:pPr>
              <w:adjustRightInd/>
              <w:snapToGrid/>
              <w:ind w:firstLine="0" w:firstLineChars="0"/>
              <w:jc w:val="center"/>
              <w:rPr>
                <w:rFonts w:hint="default" w:ascii="宋体" w:hAnsi="宋体" w:eastAsia="宋体"/>
                <w:b w:val="0"/>
                <w:bCs w:val="0"/>
                <w:kern w:val="0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Cs w:val="24"/>
                <w:lang w:val="en-US" w:eastAsia="zh-CN"/>
              </w:rPr>
              <w:t>T1+1年</w:t>
            </w:r>
          </w:p>
        </w:tc>
        <w:tc>
          <w:tcPr>
            <w:tcW w:w="1372" w:type="pct"/>
            <w:vAlign w:val="center"/>
          </w:tcPr>
          <w:p w14:paraId="06BE0CD6">
            <w:pPr>
              <w:adjustRightInd/>
              <w:snapToGrid/>
              <w:ind w:firstLine="0" w:firstLineChars="0"/>
              <w:jc w:val="center"/>
              <w:rPr>
                <w:rFonts w:hint="default" w:ascii="宋体" w:hAnsi="宋体" w:eastAsia="宋体"/>
                <w:b w:val="0"/>
                <w:bCs w:val="0"/>
                <w:kern w:val="0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Cs w:val="24"/>
              </w:rPr>
              <w:t>T</w:t>
            </w:r>
            <w:r>
              <w:rPr>
                <w:rFonts w:hint="eastAsia" w:ascii="宋体" w:hAnsi="宋体"/>
                <w:b w:val="0"/>
                <w:bCs w:val="0"/>
                <w:kern w:val="0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b w:val="0"/>
                <w:bCs w:val="0"/>
                <w:kern w:val="0"/>
                <w:szCs w:val="24"/>
              </w:rPr>
              <w:t>为</w:t>
            </w:r>
            <w:r>
              <w:rPr>
                <w:rFonts w:hint="eastAsia" w:ascii="宋体" w:hAnsi="宋体"/>
                <w:b w:val="0"/>
                <w:bCs w:val="0"/>
                <w:kern w:val="0"/>
                <w:szCs w:val="24"/>
                <w:lang w:val="en-US" w:eastAsia="zh-CN"/>
              </w:rPr>
              <w:t>项目验收，支付合同总价款3%</w:t>
            </w:r>
          </w:p>
        </w:tc>
      </w:tr>
      <w:tr w14:paraId="7A4A2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455" w:type="pct"/>
            <w:vAlign w:val="center"/>
          </w:tcPr>
          <w:p w14:paraId="61BFEC8D">
            <w:pPr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/>
                <w:b w:val="0"/>
                <w:bCs w:val="0"/>
                <w:kern w:val="0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Cs w:val="24"/>
                <w:lang w:val="en-US" w:eastAsia="zh-CN"/>
              </w:rPr>
              <w:t>4</w:t>
            </w:r>
          </w:p>
        </w:tc>
        <w:tc>
          <w:tcPr>
            <w:tcW w:w="1097" w:type="pct"/>
            <w:vAlign w:val="center"/>
          </w:tcPr>
          <w:p w14:paraId="7C264081">
            <w:pPr>
              <w:adjustRightInd/>
              <w:snapToGrid/>
              <w:ind w:firstLine="0" w:firstLineChars="0"/>
              <w:jc w:val="center"/>
              <w:rPr>
                <w:rFonts w:hint="eastAsia" w:ascii="宋体" w:hAnsi="宋体"/>
                <w:b w:val="0"/>
                <w:bCs w:val="0"/>
                <w:kern w:val="0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Cs w:val="24"/>
                <w:lang w:val="en-US" w:eastAsia="zh-CN"/>
              </w:rPr>
              <w:t>2年</w:t>
            </w:r>
            <w:r>
              <w:rPr>
                <w:rFonts w:hint="eastAsia" w:ascii="宋体" w:hAnsi="宋体"/>
                <w:b w:val="0"/>
                <w:bCs w:val="0"/>
                <w:kern w:val="0"/>
                <w:szCs w:val="24"/>
              </w:rPr>
              <w:t>质保期</w:t>
            </w:r>
          </w:p>
        </w:tc>
        <w:tc>
          <w:tcPr>
            <w:tcW w:w="1382" w:type="pct"/>
            <w:vAlign w:val="center"/>
          </w:tcPr>
          <w:p w14:paraId="0FCDCAE1">
            <w:pPr>
              <w:adjustRightInd/>
              <w:snapToGrid/>
              <w:ind w:firstLine="0" w:firstLineChars="0"/>
              <w:jc w:val="center"/>
              <w:rPr>
                <w:rFonts w:hint="eastAsia"/>
                <w:b w:val="0"/>
                <w:bCs w:val="0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Cs w:val="24"/>
                <w:lang w:val="en-US" w:eastAsia="zh-CN"/>
              </w:rPr>
              <w:t>质保期</w:t>
            </w:r>
          </w:p>
        </w:tc>
        <w:tc>
          <w:tcPr>
            <w:tcW w:w="692" w:type="pct"/>
            <w:vAlign w:val="center"/>
          </w:tcPr>
          <w:p w14:paraId="1B378BE6">
            <w:pPr>
              <w:adjustRightInd/>
              <w:snapToGrid/>
              <w:ind w:firstLine="0" w:firstLineChars="0"/>
              <w:jc w:val="center"/>
              <w:rPr>
                <w:rFonts w:hint="eastAsia" w:ascii="宋体" w:hAnsi="宋体"/>
                <w:b w:val="0"/>
                <w:bCs w:val="0"/>
                <w:kern w:val="0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Cs w:val="24"/>
                <w:lang w:val="en-US" w:eastAsia="zh-CN"/>
              </w:rPr>
              <w:t>T1+2年</w:t>
            </w:r>
          </w:p>
        </w:tc>
        <w:tc>
          <w:tcPr>
            <w:tcW w:w="1372" w:type="pct"/>
            <w:vAlign w:val="center"/>
          </w:tcPr>
          <w:p w14:paraId="2FE7CA44">
            <w:pPr>
              <w:adjustRightInd/>
              <w:snapToGrid/>
              <w:ind w:firstLine="0" w:firstLineChars="0"/>
              <w:jc w:val="center"/>
              <w:rPr>
                <w:rFonts w:hint="eastAsia" w:ascii="宋体" w:hAnsi="宋体"/>
                <w:b w:val="0"/>
                <w:bCs w:val="0"/>
                <w:kern w:val="0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Cs w:val="24"/>
              </w:rPr>
              <w:t>T</w:t>
            </w:r>
            <w:r>
              <w:rPr>
                <w:rFonts w:hint="eastAsia" w:ascii="宋体" w:hAnsi="宋体"/>
                <w:b w:val="0"/>
                <w:bCs w:val="0"/>
                <w:kern w:val="0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b w:val="0"/>
                <w:bCs w:val="0"/>
                <w:kern w:val="0"/>
                <w:szCs w:val="24"/>
              </w:rPr>
              <w:t>为</w:t>
            </w:r>
            <w:r>
              <w:rPr>
                <w:rFonts w:hint="eastAsia" w:ascii="宋体" w:hAnsi="宋体"/>
                <w:b w:val="0"/>
                <w:bCs w:val="0"/>
                <w:kern w:val="0"/>
                <w:szCs w:val="24"/>
                <w:lang w:val="en-US" w:eastAsia="zh-CN"/>
              </w:rPr>
              <w:t>项目验收，支付合同总价款2%</w:t>
            </w:r>
          </w:p>
        </w:tc>
      </w:tr>
    </w:tbl>
    <w:p w14:paraId="300B979A">
      <w:pPr>
        <w:keepNext w:val="0"/>
        <w:keepLines w:val="0"/>
        <w:pageBreakBefore w:val="0"/>
        <w:numPr>
          <w:ilvl w:val="0"/>
          <w:numId w:val="0"/>
        </w:numPr>
        <w:tabs>
          <w:tab w:val="left" w:pos="480"/>
        </w:tabs>
        <w:kinsoku/>
        <w:wordWrap/>
        <w:overflowPunct/>
        <w:topLinePunct w:val="0"/>
        <w:autoSpaceDE/>
        <w:autoSpaceDN/>
        <w:bidi w:val="0"/>
        <w:adjustRightInd w:val="0"/>
        <w:spacing w:before="0" w:after="0"/>
        <w:outlineLvl w:val="9"/>
        <w:rPr>
          <w:rFonts w:hint="eastAsia"/>
          <w:b/>
          <w:bCs/>
          <w:lang w:val="en-US" w:eastAsia="zh-CN" w:bidi="ar"/>
        </w:rPr>
      </w:pPr>
      <w:bookmarkStart w:id="19" w:name="_Toc5073"/>
      <w:bookmarkStart w:id="20" w:name="_GoBack"/>
      <w:r>
        <w:rPr>
          <w:rFonts w:hint="eastAsia"/>
          <w:b/>
          <w:bCs/>
          <w:lang w:val="en-US" w:eastAsia="zh-CN" w:bidi="ar"/>
        </w:rPr>
        <w:t>5.7交付日期及地点</w:t>
      </w:r>
      <w:bookmarkEnd w:id="19"/>
    </w:p>
    <w:bookmarkEnd w:id="20"/>
    <w:p w14:paraId="47C3AAAA">
      <w:pPr>
        <w:rPr>
          <w:rFonts w:hint="eastAsia"/>
        </w:rPr>
      </w:pPr>
      <w:r>
        <w:rPr>
          <w:rFonts w:hint="eastAsia"/>
          <w:lang w:val="en-US" w:eastAsia="zh-CN"/>
        </w:rPr>
        <w:t>交付日期：合同签订后10</w:t>
      </w:r>
      <w:r>
        <w:rPr>
          <w:rFonts w:hint="eastAsia"/>
        </w:rPr>
        <w:t>个日历日</w:t>
      </w:r>
    </w:p>
    <w:p w14:paraId="47E7305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交付地点：成都市天府新区天府菁蓉中心D区A6号楼三层</w:t>
      </w:r>
    </w:p>
    <w:p w14:paraId="5BA7802A">
      <w:pPr>
        <w:ind w:firstLine="643"/>
        <w:rPr>
          <w:b/>
          <w:bCs/>
          <w:color w:val="FF0000"/>
          <w:sz w:val="32"/>
          <w:szCs w:val="32"/>
        </w:rPr>
      </w:pPr>
    </w:p>
    <w:sectPr>
      <w:headerReference r:id="rId11" w:type="default"/>
      <w:pgSz w:w="11906" w:h="16838"/>
      <w:pgMar w:top="1440" w:right="1800" w:bottom="1440" w:left="1800" w:header="1077" w:footer="992" w:gutter="0"/>
      <w:pgNumType w:start="1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DA8BDC">
    <w:pPr>
      <w:pStyle w:val="20"/>
      <w:ind w:firstLine="4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6EE67F">
    <w:pPr>
      <w:pStyle w:val="20"/>
      <w:ind w:firstLine="48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14382F">
    <w:pPr>
      <w:pStyle w:val="20"/>
      <w:ind w:firstLine="4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8EEC02">
    <w:pPr>
      <w:ind w:left="48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2E093">
    <w:pPr>
      <w:pStyle w:val="21"/>
      <w:spacing w:after="120"/>
      <w:ind w:firstLine="48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FC8FA6">
    <w:pPr>
      <w:pStyle w:val="21"/>
      <w:spacing w:after="120"/>
      <w:ind w:firstLine="48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79411858"/>
      <w:docPartObj>
        <w:docPartGallery w:val="autotext"/>
      </w:docPartObj>
    </w:sdtPr>
    <w:sdtEndPr>
      <w:rPr>
        <w:rFonts w:ascii="宋体" w:hAnsi="宋体"/>
      </w:rPr>
    </w:sdtEndPr>
    <w:sdtContent>
      <w:p w14:paraId="24CA8215">
        <w:pPr>
          <w:pStyle w:val="21"/>
          <w:spacing w:after="120" w:line="276" w:lineRule="auto"/>
          <w:ind w:firstLine="480"/>
          <w:jc w:val="right"/>
          <w:rPr>
            <w:rFonts w:ascii="宋体" w:hAnsi="宋体"/>
          </w:rPr>
        </w:pPr>
        <w:r>
          <w:rPr>
            <w:rFonts w:hint="eastAsia" w:ascii="宋体" w:hAnsi="宋体"/>
            <w:lang w:val="zh-CN"/>
          </w:rPr>
          <w:t>第</w:t>
        </w:r>
        <w:r>
          <w:rPr>
            <w:rFonts w:ascii="宋体" w:hAnsi="宋体"/>
            <w:szCs w:val="24"/>
          </w:rPr>
          <w:fldChar w:fldCharType="begin"/>
        </w:r>
        <w:r>
          <w:rPr>
            <w:rFonts w:ascii="宋体" w:hAnsi="宋体"/>
          </w:rPr>
          <w:instrText xml:space="preserve">PAGE</w:instrText>
        </w:r>
        <w:r>
          <w:rPr>
            <w:rFonts w:ascii="宋体" w:hAnsi="宋体"/>
            <w:szCs w:val="24"/>
          </w:rPr>
          <w:fldChar w:fldCharType="separate"/>
        </w:r>
        <w:r>
          <w:rPr>
            <w:rFonts w:ascii="宋体" w:hAnsi="宋体"/>
            <w:lang w:val="zh-CN"/>
          </w:rPr>
          <w:t>2</w:t>
        </w:r>
        <w:r>
          <w:rPr>
            <w:rFonts w:ascii="宋体" w:hAnsi="宋体"/>
            <w:szCs w:val="24"/>
          </w:rPr>
          <w:fldChar w:fldCharType="end"/>
        </w:r>
        <w:r>
          <w:rPr>
            <w:rFonts w:hint="eastAsia" w:ascii="宋体" w:hAnsi="宋体"/>
            <w:lang w:val="zh-CN"/>
          </w:rPr>
          <w:t>页</w:t>
        </w:r>
        <w:r>
          <w:rPr>
            <w:rFonts w:ascii="宋体" w:hAnsi="宋体"/>
            <w:lang w:val="zh-CN"/>
          </w:rPr>
          <w:t xml:space="preserve"> </w:t>
        </w:r>
        <w:r>
          <w:rPr>
            <w:rFonts w:hint="eastAsia" w:ascii="宋体" w:hAnsi="宋体"/>
            <w:lang w:val="zh-CN"/>
          </w:rPr>
          <w:t>共</w:t>
        </w:r>
        <w:r>
          <w:rPr>
            <w:rFonts w:ascii="宋体" w:hAnsi="宋体"/>
            <w:szCs w:val="24"/>
          </w:rPr>
          <w:fldChar w:fldCharType="begin"/>
        </w:r>
        <w:r>
          <w:rPr>
            <w:rFonts w:ascii="宋体" w:hAnsi="宋体"/>
          </w:rPr>
          <w:instrText xml:space="preserve">NUMPAGES</w:instrText>
        </w:r>
        <w:r>
          <w:rPr>
            <w:rFonts w:ascii="宋体" w:hAnsi="宋体"/>
            <w:szCs w:val="24"/>
          </w:rPr>
          <w:fldChar w:fldCharType="separate"/>
        </w:r>
        <w:r>
          <w:rPr>
            <w:rFonts w:ascii="宋体" w:hAnsi="宋体"/>
            <w:lang w:val="zh-CN"/>
          </w:rPr>
          <w:t>2</w:t>
        </w:r>
        <w:r>
          <w:rPr>
            <w:rFonts w:ascii="宋体" w:hAnsi="宋体"/>
            <w:szCs w:val="24"/>
          </w:rPr>
          <w:fldChar w:fldCharType="end"/>
        </w:r>
        <w:r>
          <w:rPr>
            <w:rFonts w:hint="eastAsia" w:ascii="宋体" w:hAnsi="宋体"/>
            <w:szCs w:val="24"/>
          </w:rPr>
          <w:t>页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385F3E"/>
    <w:multiLevelType w:val="multilevel"/>
    <w:tmpl w:val="0C385F3E"/>
    <w:lvl w:ilvl="0" w:tentative="0">
      <w:start w:val="1"/>
      <w:numFmt w:val="chineseCountingThousand"/>
      <w:pStyle w:val="51"/>
      <w:lvlText w:val="第%1章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lvlText w:val="%2.%3"/>
      <w:lvlJc w:val="left"/>
      <w:pPr>
        <w:ind w:left="1418" w:hanging="567"/>
      </w:pPr>
      <w:rPr>
        <w:rFonts w:hint="default" w:ascii="仿宋" w:hAnsi="仿宋" w:eastAsia="仿宋" w:cs="Arial"/>
      </w:rPr>
    </w:lvl>
    <w:lvl w:ilvl="3" w:tentative="0">
      <w:start w:val="1"/>
      <w:numFmt w:val="decimal"/>
      <w:lvlText w:val="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（%5）"/>
      <w:lvlJc w:val="left"/>
      <w:pPr>
        <w:ind w:left="2551" w:hanging="850"/>
      </w:pPr>
      <w:rPr>
        <w:rFonts w:hint="eastAsia"/>
        <w:lang w:val="en-US"/>
      </w:rPr>
    </w:lvl>
    <w:lvl w:ilvl="5" w:tentative="0">
      <w:start w:val="1"/>
      <w:numFmt w:val="decimal"/>
      <w:lvlText w:val="%2.%3.%4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19A20B04"/>
    <w:multiLevelType w:val="multilevel"/>
    <w:tmpl w:val="19A20B04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pStyle w:val="59"/>
      <w:lvlText w:val="%1.%2.%3."/>
      <w:lvlJc w:val="left"/>
      <w:pPr>
        <w:ind w:left="709" w:hanging="709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">
    <w:nsid w:val="63D82E96"/>
    <w:multiLevelType w:val="multilevel"/>
    <w:tmpl w:val="63D82E96"/>
    <w:lvl w:ilvl="0" w:tentative="0">
      <w:start w:val="1"/>
      <w:numFmt w:val="upperLetter"/>
      <w:pStyle w:val="54"/>
      <w:lvlText w:val="附录 %1"/>
      <w:lvlJc w:val="left"/>
      <w:pPr>
        <w:ind w:left="420" w:hanging="420"/>
      </w:pPr>
      <w:rPr>
        <w:rFonts w:hint="default" w:ascii="Times New Roman" w:hAnsi="Times New Roman" w:eastAsia="宋体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AD2438D"/>
    <w:multiLevelType w:val="multilevel"/>
    <w:tmpl w:val="6AD2438D"/>
    <w:lvl w:ilvl="0" w:tentative="0">
      <w:start w:val="1"/>
      <w:numFmt w:val="upperLetter"/>
      <w:pStyle w:val="55"/>
      <w:lvlText w:val="%1.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.%3.%4.%5.%6.%7.%8.%9."/>
      <w:lvlJc w:val="left"/>
      <w:pPr>
        <w:ind w:left="1559" w:hanging="1559"/>
      </w:pPr>
      <w:rPr>
        <w:rFonts w:hint="eastAsia"/>
      </w:rPr>
    </w:lvl>
  </w:abstractNum>
  <w:abstractNum w:abstractNumId="4">
    <w:nsid w:val="7F5F46C8"/>
    <w:multiLevelType w:val="multilevel"/>
    <w:tmpl w:val="7F5F46C8"/>
    <w:lvl w:ilvl="0" w:tentative="0">
      <w:start w:val="1"/>
      <w:numFmt w:val="decimal"/>
      <w:pStyle w:val="2"/>
      <w:lvlText w:val="%1"/>
      <w:lvlJc w:val="left"/>
    </w:lvl>
    <w:lvl w:ilvl="1" w:tentative="0">
      <w:start w:val="1"/>
      <w:numFmt w:val="decimal"/>
      <w:pStyle w:val="3"/>
      <w:lvlText w:val="%1.%2"/>
      <w:lvlJc w:val="left"/>
      <w:pPr>
        <w:ind w:left="5139" w:hanging="576"/>
      </w:pPr>
    </w:lvl>
    <w:lvl w:ilvl="2" w:tentative="0">
      <w:start w:val="1"/>
      <w:numFmt w:val="decimal"/>
      <w:pStyle w:val="4"/>
      <w:lvlText w:val="%1.%2.%3"/>
      <w:lvlJc w:val="left"/>
      <w:pPr>
        <w:ind w:left="5283" w:hanging="720"/>
      </w:pPr>
      <w:rPr>
        <w:rFonts w:hint="default"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pStyle w:val="5"/>
      <w:lvlText w:val="%1.%2.%3.%4"/>
      <w:lvlJc w:val="left"/>
      <w:pPr>
        <w:ind w:left="5427" w:hanging="864"/>
      </w:pPr>
    </w:lvl>
    <w:lvl w:ilvl="4" w:tentative="0">
      <w:start w:val="1"/>
      <w:numFmt w:val="decimal"/>
      <w:pStyle w:val="6"/>
      <w:lvlText w:val="%1.%2.%3.%4.%5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5" w:tentative="0">
      <w:start w:val="1"/>
      <w:numFmt w:val="decimal"/>
      <w:pStyle w:val="7"/>
      <w:lvlText w:val="%1.%2.%3.%4.%5.%6"/>
      <w:lvlJc w:val="left"/>
      <w:pPr>
        <w:ind w:left="5715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ind w:left="5859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ind w:left="6003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ind w:left="6147" w:hanging="1584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I4NjI5OTBmMDM1ODFlMDkzNDFlZTFiMWNhZWU5ZTMifQ=="/>
  </w:docVars>
  <w:rsids>
    <w:rsidRoot w:val="00B94DE3"/>
    <w:rsid w:val="000550C6"/>
    <w:rsid w:val="00065708"/>
    <w:rsid w:val="00080B21"/>
    <w:rsid w:val="000A4562"/>
    <w:rsid w:val="000C311D"/>
    <w:rsid w:val="00183A24"/>
    <w:rsid w:val="00262702"/>
    <w:rsid w:val="00296AD9"/>
    <w:rsid w:val="0032195D"/>
    <w:rsid w:val="003D328E"/>
    <w:rsid w:val="004469D4"/>
    <w:rsid w:val="00446BBE"/>
    <w:rsid w:val="004879BD"/>
    <w:rsid w:val="004B22FD"/>
    <w:rsid w:val="004C2250"/>
    <w:rsid w:val="004F2F2B"/>
    <w:rsid w:val="005F7451"/>
    <w:rsid w:val="00614F50"/>
    <w:rsid w:val="00622815"/>
    <w:rsid w:val="00623433"/>
    <w:rsid w:val="00637209"/>
    <w:rsid w:val="0070657D"/>
    <w:rsid w:val="00760D90"/>
    <w:rsid w:val="0079441C"/>
    <w:rsid w:val="008B7BBA"/>
    <w:rsid w:val="00934D4A"/>
    <w:rsid w:val="009D25F0"/>
    <w:rsid w:val="00AC0C5B"/>
    <w:rsid w:val="00B50367"/>
    <w:rsid w:val="00B94DE3"/>
    <w:rsid w:val="00BF0842"/>
    <w:rsid w:val="00BF1896"/>
    <w:rsid w:val="00CA3EBC"/>
    <w:rsid w:val="00DB40DA"/>
    <w:rsid w:val="00DF7396"/>
    <w:rsid w:val="00E42438"/>
    <w:rsid w:val="00E43056"/>
    <w:rsid w:val="00E431F4"/>
    <w:rsid w:val="00E560F7"/>
    <w:rsid w:val="00E91865"/>
    <w:rsid w:val="00F9326E"/>
    <w:rsid w:val="00FA4E64"/>
    <w:rsid w:val="00FC68B2"/>
    <w:rsid w:val="08127BC7"/>
    <w:rsid w:val="0E327DE8"/>
    <w:rsid w:val="4D240A83"/>
    <w:rsid w:val="50606FA4"/>
    <w:rsid w:val="51C36511"/>
    <w:rsid w:val="580543FA"/>
    <w:rsid w:val="75D4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iPriority="39" w:semiHidden="0" w:name="toc 3"/>
    <w:lsdException w:qFormat="1" w:unhideWhenUsed="0" w:uiPriority="39" w:semiHidden="0" w:name="toc 4"/>
    <w:lsdException w:uiPriority="39" w:name="toc 5"/>
    <w:lsdException w:uiPriority="39" w:name="toc 6"/>
    <w:lsdException w:qFormat="1" w:uiPriority="39" w:semiHidden="0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semiHidden="0" w:name="caption"/>
    <w:lsdException w:qFormat="1" w:unhideWhenUsed="0" w:uiPriority="99" w:semiHidden="0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qFormat="1" w:unhideWhenUsed="0" w:uiPriority="0" w:semiHidden="0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1"/>
    <w:next w:val="1"/>
    <w:link w:val="44"/>
    <w:qFormat/>
    <w:uiPriority w:val="0"/>
    <w:pPr>
      <w:numPr>
        <w:ilvl w:val="0"/>
        <w:numId w:val="1"/>
      </w:numPr>
      <w:tabs>
        <w:tab w:val="left" w:pos="384"/>
      </w:tabs>
      <w:adjustRightInd w:val="0"/>
      <w:spacing w:before="120" w:after="120" w:line="360" w:lineRule="auto"/>
      <w:jc w:val="both"/>
      <w:textAlignment w:val="baseline"/>
      <w:outlineLvl w:val="0"/>
    </w:pPr>
    <w:rPr>
      <w:rFonts w:ascii="Times New Roman" w:hAnsi="Times New Roman" w:eastAsia="黑体" w:cs="Times New Roman"/>
      <w:sz w:val="28"/>
      <w:lang w:val="en-US" w:eastAsia="zh-CN" w:bidi="ar-SA"/>
    </w:rPr>
  </w:style>
  <w:style w:type="paragraph" w:styleId="3">
    <w:name w:val="heading 2"/>
    <w:next w:val="1"/>
    <w:link w:val="36"/>
    <w:qFormat/>
    <w:uiPriority w:val="0"/>
    <w:pPr>
      <w:numPr>
        <w:ilvl w:val="1"/>
        <w:numId w:val="1"/>
      </w:numPr>
      <w:tabs>
        <w:tab w:val="left" w:pos="480"/>
      </w:tabs>
      <w:spacing w:before="120" w:after="120" w:line="360" w:lineRule="auto"/>
      <w:ind w:left="0" w:firstLine="0"/>
      <w:jc w:val="both"/>
      <w:outlineLvl w:val="1"/>
    </w:pPr>
    <w:rPr>
      <w:rFonts w:ascii="Times New Roman" w:hAnsi="Times New Roman" w:eastAsia="黑体" w:cs="Times New Roman"/>
      <w:kern w:val="2"/>
      <w:sz w:val="24"/>
      <w:szCs w:val="32"/>
      <w:lang w:val="en-US" w:eastAsia="zh-CN" w:bidi="ar-SA"/>
    </w:rPr>
  </w:style>
  <w:style w:type="paragraph" w:styleId="4">
    <w:name w:val="heading 3"/>
    <w:next w:val="1"/>
    <w:link w:val="42"/>
    <w:qFormat/>
    <w:uiPriority w:val="0"/>
    <w:pPr>
      <w:numPr>
        <w:ilvl w:val="2"/>
        <w:numId w:val="1"/>
      </w:numPr>
      <w:tabs>
        <w:tab w:val="left" w:pos="672"/>
        <w:tab w:val="left" w:pos="720"/>
      </w:tabs>
      <w:spacing w:before="120" w:after="120" w:line="360" w:lineRule="auto"/>
      <w:ind w:left="0" w:firstLine="0"/>
      <w:jc w:val="both"/>
      <w:outlineLvl w:val="2"/>
    </w:pPr>
    <w:rPr>
      <w:rFonts w:ascii="Times New Roman" w:hAnsi="Times New Roman" w:eastAsia="黑体" w:cs="Times New Roman"/>
      <w:bCs/>
      <w:kern w:val="2"/>
      <w:sz w:val="24"/>
      <w:szCs w:val="32"/>
      <w:lang w:val="en-US" w:eastAsia="zh-CN" w:bidi="ar-SA"/>
    </w:rPr>
  </w:style>
  <w:style w:type="paragraph" w:styleId="5">
    <w:name w:val="heading 4"/>
    <w:next w:val="1"/>
    <w:link w:val="43"/>
    <w:qFormat/>
    <w:uiPriority w:val="0"/>
    <w:pPr>
      <w:numPr>
        <w:ilvl w:val="3"/>
        <w:numId w:val="1"/>
      </w:numPr>
      <w:tabs>
        <w:tab w:val="left" w:pos="840"/>
      </w:tabs>
      <w:spacing w:line="36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4"/>
      <w:szCs w:val="22"/>
      <w:lang w:val="en-US" w:eastAsia="zh-CN" w:bidi="ar-SA"/>
    </w:rPr>
  </w:style>
  <w:style w:type="paragraph" w:styleId="6">
    <w:name w:val="heading 5"/>
    <w:next w:val="1"/>
    <w:link w:val="45"/>
    <w:qFormat/>
    <w:uiPriority w:val="0"/>
    <w:pPr>
      <w:numPr>
        <w:ilvl w:val="4"/>
        <w:numId w:val="1"/>
      </w:numPr>
      <w:tabs>
        <w:tab w:val="left" w:pos="1032"/>
      </w:tabs>
      <w:spacing w:line="36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4"/>
      <w:szCs w:val="22"/>
      <w:lang w:val="en-US" w:eastAsia="zh-CN" w:bidi="ar-SA"/>
    </w:rPr>
  </w:style>
  <w:style w:type="paragraph" w:styleId="7">
    <w:name w:val="heading 6"/>
    <w:next w:val="1"/>
    <w:link w:val="46"/>
    <w:qFormat/>
    <w:uiPriority w:val="0"/>
    <w:pPr>
      <w:numPr>
        <w:ilvl w:val="5"/>
        <w:numId w:val="1"/>
      </w:numPr>
      <w:tabs>
        <w:tab w:val="left" w:pos="1200"/>
      </w:tabs>
      <w:spacing w:line="36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4"/>
      <w:szCs w:val="22"/>
      <w:lang w:val="en-US" w:eastAsia="zh-CN" w:bidi="ar-SA"/>
    </w:rPr>
  </w:style>
  <w:style w:type="paragraph" w:styleId="8">
    <w:name w:val="heading 7"/>
    <w:next w:val="1"/>
    <w:link w:val="47"/>
    <w:qFormat/>
    <w:uiPriority w:val="0"/>
    <w:pPr>
      <w:numPr>
        <w:ilvl w:val="6"/>
        <w:numId w:val="1"/>
      </w:numPr>
      <w:tabs>
        <w:tab w:val="left" w:pos="1344"/>
      </w:tabs>
      <w:spacing w:line="36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2"/>
      <w:lang w:val="en-US" w:eastAsia="zh-CN" w:bidi="ar-SA"/>
    </w:rPr>
  </w:style>
  <w:style w:type="paragraph" w:styleId="9">
    <w:name w:val="heading 8"/>
    <w:next w:val="1"/>
    <w:link w:val="48"/>
    <w:qFormat/>
    <w:uiPriority w:val="0"/>
    <w:pPr>
      <w:numPr>
        <w:ilvl w:val="7"/>
        <w:numId w:val="1"/>
      </w:numPr>
      <w:tabs>
        <w:tab w:val="left" w:pos="1536"/>
      </w:tabs>
      <w:spacing w:line="36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2"/>
      <w:lang w:val="en-US" w:eastAsia="zh-CN" w:bidi="ar-SA"/>
    </w:rPr>
  </w:style>
  <w:style w:type="paragraph" w:styleId="10">
    <w:name w:val="heading 9"/>
    <w:next w:val="1"/>
    <w:link w:val="49"/>
    <w:autoRedefine/>
    <w:qFormat/>
    <w:uiPriority w:val="0"/>
    <w:pPr>
      <w:numPr>
        <w:ilvl w:val="8"/>
        <w:numId w:val="1"/>
      </w:numPr>
      <w:tabs>
        <w:tab w:val="left" w:pos="1728"/>
      </w:tabs>
      <w:adjustRightInd w:val="0"/>
      <w:snapToGrid w:val="0"/>
      <w:spacing w:line="360" w:lineRule="auto"/>
      <w:jc w:val="both"/>
      <w:outlineLvl w:val="8"/>
    </w:pPr>
    <w:rPr>
      <w:rFonts w:ascii="Times New Roman" w:hAnsi="Times New Roman" w:eastAsia="黑体" w:cs="Times New Roman"/>
      <w:kern w:val="2"/>
      <w:sz w:val="24"/>
      <w:szCs w:val="22"/>
      <w:lang w:val="en-US" w:eastAsia="zh-CN" w:bidi="ar-SA"/>
    </w:rPr>
  </w:style>
  <w:style w:type="character" w:default="1" w:styleId="31">
    <w:name w:val="Default Paragraph Font"/>
    <w:semiHidden/>
    <w:unhideWhenUsed/>
    <w:qFormat/>
    <w:uiPriority w:val="1"/>
  </w:style>
  <w:style w:type="table" w:default="1" w:styleId="2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autoRedefine/>
    <w:unhideWhenUsed/>
    <w:qFormat/>
    <w:uiPriority w:val="39"/>
    <w:pPr>
      <w:ind w:left="2520" w:leftChars="1200"/>
    </w:pPr>
  </w:style>
  <w:style w:type="paragraph" w:styleId="12">
    <w:name w:val="Normal Indent"/>
    <w:next w:val="1"/>
    <w:link w:val="80"/>
    <w:qFormat/>
    <w:uiPriority w:val="0"/>
    <w:pPr>
      <w:spacing w:line="360" w:lineRule="auto"/>
    </w:pPr>
    <w:rPr>
      <w:rFonts w:ascii="Times New Roman" w:hAnsi="Times New Roman" w:eastAsia="宋体" w:cs="Times New Roman"/>
      <w:kern w:val="24"/>
      <w:sz w:val="21"/>
      <w:lang w:val="en-US" w:eastAsia="zh-CN" w:bidi="ar-SA"/>
    </w:rPr>
  </w:style>
  <w:style w:type="paragraph" w:styleId="13">
    <w:name w:val="caption"/>
    <w:next w:val="1"/>
    <w:unhideWhenUsed/>
    <w:qFormat/>
    <w:uiPriority w:val="35"/>
    <w:pPr>
      <w:spacing w:line="360" w:lineRule="auto"/>
      <w:jc w:val="center"/>
    </w:pPr>
    <w:rPr>
      <w:rFonts w:ascii="Times New Roman" w:hAnsi="Times New Roman" w:eastAsia="黑体" w:cs="Times New Roman"/>
      <w:kern w:val="2"/>
      <w:sz w:val="21"/>
      <w:lang w:val="en-US" w:eastAsia="zh-CN" w:bidi="ar-SA"/>
    </w:rPr>
  </w:style>
  <w:style w:type="paragraph" w:styleId="14">
    <w:name w:val="Document Map"/>
    <w:basedOn w:val="1"/>
    <w:link w:val="70"/>
    <w:unhideWhenUsed/>
    <w:qFormat/>
    <w:uiPriority w:val="99"/>
    <w:rPr>
      <w:rFonts w:ascii="宋体"/>
      <w:sz w:val="18"/>
      <w:szCs w:val="18"/>
    </w:rPr>
  </w:style>
  <w:style w:type="paragraph" w:styleId="15">
    <w:name w:val="annotation text"/>
    <w:basedOn w:val="1"/>
    <w:link w:val="64"/>
    <w:unhideWhenUsed/>
    <w:qFormat/>
    <w:uiPriority w:val="99"/>
    <w:pPr>
      <w:jc w:val="left"/>
    </w:pPr>
  </w:style>
  <w:style w:type="paragraph" w:styleId="16">
    <w:name w:val="toc 3"/>
    <w:basedOn w:val="1"/>
    <w:next w:val="1"/>
    <w:autoRedefine/>
    <w:unhideWhenUsed/>
    <w:qFormat/>
    <w:uiPriority w:val="39"/>
    <w:pPr>
      <w:tabs>
        <w:tab w:val="left" w:pos="1276"/>
        <w:tab w:val="right" w:leader="dot" w:pos="9060"/>
      </w:tabs>
      <w:ind w:left="720" w:leftChars="300" w:firstLine="0" w:firstLineChars="0"/>
    </w:pPr>
    <w:rPr>
      <w:sz w:val="21"/>
    </w:rPr>
  </w:style>
  <w:style w:type="paragraph" w:styleId="17">
    <w:name w:val="List Number 4"/>
    <w:basedOn w:val="1"/>
    <w:qFormat/>
    <w:uiPriority w:val="0"/>
    <w:pPr>
      <w:widowControl/>
      <w:tabs>
        <w:tab w:val="left" w:pos="1620"/>
      </w:tabs>
      <w:spacing w:after="200" w:line="252" w:lineRule="auto"/>
      <w:ind w:left="1620" w:leftChars="600" w:hanging="360" w:hangingChars="200"/>
    </w:pPr>
    <w:rPr>
      <w:rFonts w:ascii="Cambria" w:hAnsi="Cambria"/>
      <w:kern w:val="0"/>
      <w:sz w:val="22"/>
      <w:lang w:eastAsia="en-US" w:bidi="en-US"/>
    </w:rPr>
  </w:style>
  <w:style w:type="paragraph" w:styleId="18">
    <w:name w:val="endnote text"/>
    <w:basedOn w:val="1"/>
    <w:link w:val="68"/>
    <w:qFormat/>
    <w:uiPriority w:val="0"/>
    <w:pPr>
      <w:jc w:val="left"/>
    </w:pPr>
  </w:style>
  <w:style w:type="paragraph" w:styleId="19">
    <w:name w:val="Balloon Text"/>
    <w:basedOn w:val="1"/>
    <w:link w:val="63"/>
    <w:unhideWhenUsed/>
    <w:qFormat/>
    <w:uiPriority w:val="99"/>
    <w:rPr>
      <w:sz w:val="18"/>
      <w:szCs w:val="18"/>
    </w:rPr>
  </w:style>
  <w:style w:type="paragraph" w:styleId="20">
    <w:name w:val="footer"/>
    <w:basedOn w:val="1"/>
    <w:link w:val="71"/>
    <w:qFormat/>
    <w:uiPriority w:val="99"/>
    <w:pPr>
      <w:tabs>
        <w:tab w:val="center" w:pos="4153"/>
        <w:tab w:val="right" w:pos="8306"/>
      </w:tabs>
      <w:jc w:val="left"/>
    </w:pPr>
    <w:rPr>
      <w:szCs w:val="18"/>
    </w:rPr>
  </w:style>
  <w:style w:type="paragraph" w:styleId="21">
    <w:name w:val="header"/>
    <w:basedOn w:val="1"/>
    <w:link w:val="7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afterLines="50"/>
      <w:jc w:val="center"/>
    </w:pPr>
    <w:rPr>
      <w:szCs w:val="18"/>
    </w:rPr>
  </w:style>
  <w:style w:type="paragraph" w:styleId="22">
    <w:name w:val="toc 1"/>
    <w:basedOn w:val="1"/>
    <w:next w:val="1"/>
    <w:autoRedefine/>
    <w:qFormat/>
    <w:uiPriority w:val="39"/>
    <w:pPr>
      <w:tabs>
        <w:tab w:val="left" w:pos="284"/>
        <w:tab w:val="right" w:leader="dot" w:pos="9060"/>
      </w:tabs>
      <w:ind w:firstLine="0" w:firstLineChars="0"/>
      <w:jc w:val="left"/>
    </w:pPr>
    <w:rPr>
      <w:rFonts w:ascii="宋体" w:hAnsi="宋体" w:eastAsiaTheme="minorEastAsia"/>
      <w:b/>
      <w:bCs/>
      <w:szCs w:val="24"/>
    </w:rPr>
  </w:style>
  <w:style w:type="paragraph" w:styleId="23">
    <w:name w:val="toc 4"/>
    <w:basedOn w:val="1"/>
    <w:next w:val="1"/>
    <w:autoRedefine/>
    <w:qFormat/>
    <w:uiPriority w:val="39"/>
    <w:pPr>
      <w:ind w:left="1260" w:leftChars="600"/>
    </w:pPr>
  </w:style>
  <w:style w:type="paragraph" w:styleId="24">
    <w:name w:val="Subtitle"/>
    <w:basedOn w:val="1"/>
    <w:next w:val="1"/>
    <w:link w:val="60"/>
    <w:qFormat/>
    <w:uiPriority w:val="11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25">
    <w:name w:val="table of figures"/>
    <w:basedOn w:val="1"/>
    <w:next w:val="1"/>
    <w:qFormat/>
    <w:uiPriority w:val="99"/>
    <w:pPr>
      <w:tabs>
        <w:tab w:val="right" w:leader="dot" w:pos="9060"/>
      </w:tabs>
      <w:spacing w:line="300" w:lineRule="auto"/>
    </w:pPr>
    <w:rPr>
      <w:smallCaps/>
    </w:rPr>
  </w:style>
  <w:style w:type="paragraph" w:styleId="26">
    <w:name w:val="toc 2"/>
    <w:basedOn w:val="1"/>
    <w:next w:val="1"/>
    <w:autoRedefine/>
    <w:qFormat/>
    <w:uiPriority w:val="39"/>
    <w:pPr>
      <w:tabs>
        <w:tab w:val="left" w:pos="709"/>
        <w:tab w:val="right" w:leader="dot" w:pos="9060"/>
      </w:tabs>
      <w:ind w:left="240" w:leftChars="100" w:firstLine="72" w:firstLineChars="30"/>
    </w:pPr>
    <w:rPr>
      <w:rFonts w:asciiTheme="minorHAnsi" w:hAnsiTheme="minorHAnsi" w:eastAsiaTheme="minorEastAsia" w:cstheme="minorBidi"/>
      <w:sz w:val="21"/>
    </w:rPr>
  </w:style>
  <w:style w:type="paragraph" w:styleId="27">
    <w:name w:val="Title"/>
    <w:basedOn w:val="1"/>
    <w:next w:val="1"/>
    <w:link w:val="50"/>
    <w:qFormat/>
    <w:uiPriority w:val="0"/>
    <w:pPr>
      <w:spacing w:before="240" w:after="60"/>
      <w:ind w:firstLine="0" w:firstLineChars="0"/>
      <w:jc w:val="left"/>
      <w:outlineLvl w:val="0"/>
    </w:pPr>
    <w:rPr>
      <w:rFonts w:eastAsia="黑体" w:asciiTheme="majorHAnsi" w:hAnsiTheme="majorHAnsi" w:cstheme="majorBidi"/>
      <w:bCs/>
      <w:szCs w:val="32"/>
    </w:rPr>
  </w:style>
  <w:style w:type="paragraph" w:styleId="28">
    <w:name w:val="annotation subject"/>
    <w:basedOn w:val="15"/>
    <w:next w:val="15"/>
    <w:link w:val="65"/>
    <w:unhideWhenUsed/>
    <w:qFormat/>
    <w:uiPriority w:val="99"/>
    <w:rPr>
      <w:b/>
      <w:bCs/>
    </w:rPr>
  </w:style>
  <w:style w:type="table" w:styleId="30">
    <w:name w:val="Table Grid"/>
    <w:basedOn w:val="29"/>
    <w:qFormat/>
    <w:uiPriority w:val="59"/>
    <w:rPr>
      <w:rFonts w:ascii="Times New Roman" w:hAnsi="Times New Roman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32">
    <w:name w:val="endnote reference"/>
    <w:basedOn w:val="31"/>
    <w:qFormat/>
    <w:uiPriority w:val="0"/>
    <w:rPr>
      <w:vertAlign w:val="superscript"/>
    </w:rPr>
  </w:style>
  <w:style w:type="character" w:styleId="33">
    <w:name w:val="page number"/>
    <w:qFormat/>
    <w:uiPriority w:val="0"/>
    <w:rPr>
      <w:rFonts w:eastAsia="宋体"/>
      <w:sz w:val="21"/>
    </w:rPr>
  </w:style>
  <w:style w:type="character" w:styleId="34">
    <w:name w:val="Hyperlink"/>
    <w:qFormat/>
    <w:uiPriority w:val="99"/>
    <w:rPr>
      <w:rFonts w:ascii="Times New Roman" w:hAnsi="Times New Roman" w:eastAsia="宋体"/>
      <w:color w:val="0000FF"/>
      <w:u w:val="single"/>
    </w:rPr>
  </w:style>
  <w:style w:type="character" w:styleId="35">
    <w:name w:val="annotation reference"/>
    <w:unhideWhenUsed/>
    <w:qFormat/>
    <w:uiPriority w:val="99"/>
    <w:rPr>
      <w:sz w:val="21"/>
      <w:szCs w:val="21"/>
    </w:rPr>
  </w:style>
  <w:style w:type="character" w:customStyle="1" w:styleId="36">
    <w:name w:val="标题 2 字符"/>
    <w:link w:val="3"/>
    <w:qFormat/>
    <w:uiPriority w:val="0"/>
    <w:rPr>
      <w:rFonts w:ascii="Times New Roman" w:hAnsi="Times New Roman" w:eastAsia="黑体" w:cs="Times New Roman"/>
      <w:sz w:val="24"/>
      <w:szCs w:val="32"/>
    </w:rPr>
  </w:style>
  <w:style w:type="paragraph" w:customStyle="1" w:styleId="37">
    <w:name w:val="TOC 标题1"/>
    <w:basedOn w:val="2"/>
    <w:next w:val="1"/>
    <w:unhideWhenUsed/>
    <w:qFormat/>
    <w:uiPriority w:val="39"/>
    <w:pPr>
      <w:keepNext/>
      <w:keepLines/>
      <w:numPr>
        <w:numId w:val="0"/>
      </w:numPr>
      <w:adjustRightInd/>
      <w:spacing w:before="340" w:after="330" w:line="578" w:lineRule="auto"/>
      <w:jc w:val="center"/>
      <w:textAlignment w:val="auto"/>
      <w:outlineLvl w:val="9"/>
    </w:pPr>
    <w:rPr>
      <w:bCs/>
      <w:kern w:val="24"/>
      <w:sz w:val="30"/>
      <w:szCs w:val="44"/>
    </w:rPr>
  </w:style>
  <w:style w:type="paragraph" w:customStyle="1" w:styleId="38">
    <w:name w:val="WPSOffice手动目录 1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39">
    <w:name w:val="WPSOffice手动目录 2"/>
    <w:qFormat/>
    <w:uiPriority w:val="0"/>
    <w:pPr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40">
    <w:name w:val="WPSOffice手动目录 3"/>
    <w:qFormat/>
    <w:uiPriority w:val="0"/>
    <w:pPr>
      <w:ind w:left="400" w:leftChars="400"/>
    </w:pPr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41">
    <w:name w:val="_"/>
    <w:basedOn w:val="1"/>
    <w:qFormat/>
    <w:uiPriority w:val="0"/>
    <w:pPr>
      <w:ind w:left="480"/>
      <w:textAlignment w:val="baseline"/>
    </w:pPr>
    <w:rPr>
      <w:kern w:val="0"/>
      <w:szCs w:val="20"/>
    </w:rPr>
  </w:style>
  <w:style w:type="character" w:customStyle="1" w:styleId="42">
    <w:name w:val="标题 3 字符"/>
    <w:link w:val="4"/>
    <w:qFormat/>
    <w:uiPriority w:val="0"/>
    <w:rPr>
      <w:rFonts w:ascii="Times New Roman" w:hAnsi="Times New Roman" w:eastAsia="黑体" w:cs="Times New Roman"/>
      <w:bCs/>
      <w:sz w:val="24"/>
      <w:szCs w:val="32"/>
    </w:rPr>
  </w:style>
  <w:style w:type="character" w:customStyle="1" w:styleId="43">
    <w:name w:val="标题 4 字符"/>
    <w:link w:val="5"/>
    <w:qFormat/>
    <w:uiPriority w:val="0"/>
    <w:rPr>
      <w:rFonts w:ascii="Times New Roman" w:hAnsi="Times New Roman" w:eastAsia="黑体" w:cs="Times New Roman"/>
      <w:bCs/>
      <w:sz w:val="24"/>
    </w:rPr>
  </w:style>
  <w:style w:type="character" w:customStyle="1" w:styleId="44">
    <w:name w:val="标题 1 字符"/>
    <w:link w:val="2"/>
    <w:qFormat/>
    <w:uiPriority w:val="0"/>
    <w:rPr>
      <w:rFonts w:ascii="Times New Roman" w:hAnsi="Times New Roman" w:eastAsia="黑体" w:cs="Times New Roman"/>
      <w:kern w:val="0"/>
      <w:sz w:val="28"/>
      <w:szCs w:val="20"/>
    </w:rPr>
  </w:style>
  <w:style w:type="character" w:customStyle="1" w:styleId="45">
    <w:name w:val="标题 5 字符"/>
    <w:link w:val="6"/>
    <w:qFormat/>
    <w:uiPriority w:val="0"/>
    <w:rPr>
      <w:rFonts w:ascii="Times New Roman" w:hAnsi="Times New Roman" w:eastAsia="黑体" w:cs="Times New Roman"/>
      <w:bCs/>
      <w:sz w:val="24"/>
    </w:rPr>
  </w:style>
  <w:style w:type="character" w:customStyle="1" w:styleId="46">
    <w:name w:val="标题 6 字符"/>
    <w:link w:val="7"/>
    <w:qFormat/>
    <w:uiPriority w:val="0"/>
    <w:rPr>
      <w:rFonts w:ascii="Times New Roman" w:hAnsi="Times New Roman" w:eastAsia="黑体" w:cs="Times New Roman"/>
      <w:bCs/>
      <w:sz w:val="24"/>
    </w:rPr>
  </w:style>
  <w:style w:type="character" w:customStyle="1" w:styleId="47">
    <w:name w:val="标题 7 字符"/>
    <w:link w:val="8"/>
    <w:qFormat/>
    <w:uiPriority w:val="0"/>
    <w:rPr>
      <w:rFonts w:ascii="Times New Roman" w:hAnsi="Times New Roman" w:eastAsia="黑体" w:cs="Times New Roman"/>
      <w:bCs/>
      <w:sz w:val="24"/>
    </w:rPr>
  </w:style>
  <w:style w:type="character" w:customStyle="1" w:styleId="48">
    <w:name w:val="标题 8 字符"/>
    <w:link w:val="9"/>
    <w:qFormat/>
    <w:uiPriority w:val="0"/>
    <w:rPr>
      <w:rFonts w:ascii="Times New Roman" w:hAnsi="Times New Roman" w:eastAsia="黑体" w:cs="Times New Roman"/>
      <w:sz w:val="24"/>
    </w:rPr>
  </w:style>
  <w:style w:type="character" w:customStyle="1" w:styleId="49">
    <w:name w:val="标题 9 字符"/>
    <w:link w:val="10"/>
    <w:qFormat/>
    <w:uiPriority w:val="0"/>
    <w:rPr>
      <w:rFonts w:ascii="Times New Roman" w:hAnsi="Times New Roman" w:eastAsia="黑体" w:cs="Times New Roman"/>
      <w:sz w:val="24"/>
    </w:rPr>
  </w:style>
  <w:style w:type="character" w:customStyle="1" w:styleId="50">
    <w:name w:val="标题 字符"/>
    <w:basedOn w:val="31"/>
    <w:link w:val="27"/>
    <w:qFormat/>
    <w:uiPriority w:val="0"/>
    <w:rPr>
      <w:rFonts w:eastAsia="黑体" w:asciiTheme="majorHAnsi" w:hAnsiTheme="majorHAnsi" w:cstheme="majorBidi"/>
      <w:bCs/>
      <w:sz w:val="24"/>
      <w:szCs w:val="32"/>
    </w:rPr>
  </w:style>
  <w:style w:type="paragraph" w:customStyle="1" w:styleId="51">
    <w:name w:val="标准文件_正文表标题"/>
    <w:next w:val="1"/>
    <w:qFormat/>
    <w:uiPriority w:val="0"/>
    <w:pPr>
      <w:numPr>
        <w:ilvl w:val="0"/>
        <w:numId w:val="2"/>
      </w:numPr>
      <w:tabs>
        <w:tab w:val="left" w:pos="0"/>
      </w:tabs>
      <w:spacing w:line="360" w:lineRule="auto"/>
      <w:jc w:val="center"/>
    </w:pPr>
    <w:rPr>
      <w:rFonts w:ascii="Times New Roman" w:hAnsi="Times New Roman" w:eastAsia="宋体" w:cs="Arial"/>
      <w:sz w:val="24"/>
      <w:szCs w:val="64"/>
      <w:lang w:val="en-US" w:eastAsia="zh-CN" w:bidi="ar-SA"/>
    </w:rPr>
  </w:style>
  <w:style w:type="paragraph" w:customStyle="1" w:styleId="52">
    <w:name w:val="表注"/>
    <w:next w:val="1"/>
    <w:qFormat/>
    <w:uiPriority w:val="0"/>
    <w:pPr>
      <w:keepNext/>
      <w:spacing w:before="120" w:line="360" w:lineRule="auto"/>
      <w:jc w:val="center"/>
    </w:pPr>
    <w:rPr>
      <w:rFonts w:ascii="Times New Roman" w:hAnsi="Times New Roman" w:eastAsia="黑体" w:cs="Times New Roman"/>
      <w:kern w:val="2"/>
      <w:sz w:val="21"/>
      <w:lang w:val="en-US" w:eastAsia="zh-CN" w:bidi="ar-SA"/>
    </w:rPr>
  </w:style>
  <w:style w:type="paragraph" w:customStyle="1" w:styleId="53">
    <w:name w:val="彩色列表 - 强调文字颜色 11"/>
    <w:basedOn w:val="1"/>
    <w:qFormat/>
    <w:uiPriority w:val="34"/>
  </w:style>
  <w:style w:type="paragraph" w:customStyle="1" w:styleId="54">
    <w:name w:val="附录"/>
    <w:basedOn w:val="1"/>
    <w:next w:val="1"/>
    <w:autoRedefine/>
    <w:qFormat/>
    <w:uiPriority w:val="0"/>
    <w:pPr>
      <w:numPr>
        <w:ilvl w:val="0"/>
        <w:numId w:val="3"/>
      </w:numPr>
      <w:jc w:val="center"/>
      <w:outlineLvl w:val="0"/>
    </w:pPr>
    <w:rPr>
      <w:rFonts w:eastAsia="黑体"/>
      <w:sz w:val="30"/>
      <w:szCs w:val="30"/>
    </w:rPr>
  </w:style>
  <w:style w:type="paragraph" w:customStyle="1" w:styleId="55">
    <w:name w:val="附录1级"/>
    <w:basedOn w:val="1"/>
    <w:link w:val="56"/>
    <w:autoRedefine/>
    <w:qFormat/>
    <w:uiPriority w:val="0"/>
    <w:pPr>
      <w:numPr>
        <w:ilvl w:val="0"/>
        <w:numId w:val="4"/>
      </w:numPr>
    </w:pPr>
    <w:rPr>
      <w:rFonts w:ascii="宋体" w:hAnsi="宋体"/>
    </w:rPr>
  </w:style>
  <w:style w:type="character" w:customStyle="1" w:styleId="56">
    <w:name w:val="附录1级 Char"/>
    <w:link w:val="55"/>
    <w:qFormat/>
    <w:uiPriority w:val="0"/>
    <w:rPr>
      <w:rFonts w:ascii="宋体" w:hAnsi="宋体" w:eastAsia="宋体" w:cs="Times New Roman"/>
      <w:sz w:val="24"/>
    </w:rPr>
  </w:style>
  <w:style w:type="paragraph" w:customStyle="1" w:styleId="57">
    <w:name w:val="附录2级"/>
    <w:basedOn w:val="1"/>
    <w:link w:val="58"/>
    <w:qFormat/>
    <w:uiPriority w:val="0"/>
    <w:pPr>
      <w:ind w:firstLine="480"/>
    </w:pPr>
    <w:rPr>
      <w:rFonts w:cs="宋体"/>
      <w:szCs w:val="20"/>
    </w:rPr>
  </w:style>
  <w:style w:type="character" w:customStyle="1" w:styleId="58">
    <w:name w:val="附录2级 Char"/>
    <w:link w:val="57"/>
    <w:qFormat/>
    <w:uiPriority w:val="0"/>
    <w:rPr>
      <w:rFonts w:ascii="Times New Roman" w:hAnsi="Times New Roman" w:eastAsia="宋体" w:cs="宋体"/>
      <w:sz w:val="24"/>
      <w:szCs w:val="20"/>
    </w:rPr>
  </w:style>
  <w:style w:type="paragraph" w:customStyle="1" w:styleId="59">
    <w:name w:val="附录3级"/>
    <w:basedOn w:val="1"/>
    <w:qFormat/>
    <w:uiPriority w:val="0"/>
    <w:pPr>
      <w:numPr>
        <w:ilvl w:val="2"/>
        <w:numId w:val="5"/>
      </w:numPr>
      <w:ind w:firstLine="0" w:firstLineChars="0"/>
      <w:outlineLvl w:val="2"/>
    </w:pPr>
  </w:style>
  <w:style w:type="character" w:customStyle="1" w:styleId="60">
    <w:name w:val="副标题 字符"/>
    <w:link w:val="24"/>
    <w:qFormat/>
    <w:uiPriority w:val="11"/>
    <w:rPr>
      <w:rFonts w:ascii="Cambria" w:hAnsi="Cambria" w:eastAsia="宋体" w:cs="Times New Roman"/>
      <w:b/>
      <w:bCs/>
      <w:kern w:val="28"/>
      <w:sz w:val="32"/>
      <w:szCs w:val="32"/>
    </w:rPr>
  </w:style>
  <w:style w:type="paragraph" w:styleId="61">
    <w:name w:val="List Paragraph"/>
    <w:basedOn w:val="1"/>
    <w:link w:val="62"/>
    <w:qFormat/>
    <w:uiPriority w:val="34"/>
    <w:pPr>
      <w:ind w:firstLine="420"/>
    </w:pPr>
  </w:style>
  <w:style w:type="character" w:customStyle="1" w:styleId="62">
    <w:name w:val="列表段落 字符"/>
    <w:link w:val="61"/>
    <w:qFormat/>
    <w:locked/>
    <w:uiPriority w:val="34"/>
    <w:rPr>
      <w:rFonts w:ascii="Times New Roman" w:hAnsi="Times New Roman" w:eastAsia="宋体" w:cs="Times New Roman"/>
      <w:sz w:val="24"/>
    </w:rPr>
  </w:style>
  <w:style w:type="character" w:customStyle="1" w:styleId="63">
    <w:name w:val="批注框文本 字符"/>
    <w:link w:val="1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64">
    <w:name w:val="批注文字 字符"/>
    <w:link w:val="15"/>
    <w:qFormat/>
    <w:uiPriority w:val="99"/>
    <w:rPr>
      <w:rFonts w:ascii="Times New Roman" w:hAnsi="Times New Roman" w:eastAsia="宋体" w:cs="Times New Roman"/>
      <w:sz w:val="24"/>
    </w:rPr>
  </w:style>
  <w:style w:type="character" w:customStyle="1" w:styleId="65">
    <w:name w:val="批注主题 字符"/>
    <w:link w:val="28"/>
    <w:qFormat/>
    <w:uiPriority w:val="99"/>
    <w:rPr>
      <w:rFonts w:ascii="Times New Roman" w:hAnsi="Times New Roman" w:eastAsia="宋体" w:cs="Times New Roman"/>
      <w:b/>
      <w:bCs/>
      <w:sz w:val="24"/>
    </w:rPr>
  </w:style>
  <w:style w:type="paragraph" w:customStyle="1" w:styleId="66">
    <w:name w:val="前言"/>
    <w:basedOn w:val="37"/>
    <w:next w:val="57"/>
    <w:qFormat/>
    <w:uiPriority w:val="0"/>
    <w:pPr>
      <w:spacing w:line="360" w:lineRule="auto"/>
    </w:pPr>
  </w:style>
  <w:style w:type="paragraph" w:customStyle="1" w:styleId="67">
    <w:name w:val="缺省文本"/>
    <w:basedOn w:val="1"/>
    <w:qFormat/>
    <w:uiPriority w:val="0"/>
    <w:pPr>
      <w:autoSpaceDE w:val="0"/>
      <w:autoSpaceDN w:val="0"/>
      <w:jc w:val="left"/>
    </w:pPr>
    <w:rPr>
      <w:rFonts w:eastAsia="Times New Roman"/>
      <w:kern w:val="0"/>
      <w:lang w:eastAsia="en-US"/>
    </w:rPr>
  </w:style>
  <w:style w:type="character" w:customStyle="1" w:styleId="68">
    <w:name w:val="尾注文本 字符"/>
    <w:basedOn w:val="31"/>
    <w:link w:val="18"/>
    <w:qFormat/>
    <w:uiPriority w:val="0"/>
    <w:rPr>
      <w:rFonts w:ascii="Times New Roman" w:hAnsi="Times New Roman" w:eastAsia="宋体" w:cs="Times New Roman"/>
      <w:sz w:val="24"/>
    </w:rPr>
  </w:style>
  <w:style w:type="character" w:customStyle="1" w:styleId="69">
    <w:name w:val="未处理的提及1"/>
    <w:basedOn w:val="3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70">
    <w:name w:val="文档结构图 字符"/>
    <w:link w:val="14"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71">
    <w:name w:val="页脚 字符"/>
    <w:link w:val="20"/>
    <w:qFormat/>
    <w:uiPriority w:val="99"/>
    <w:rPr>
      <w:rFonts w:ascii="Times New Roman" w:hAnsi="Times New Roman" w:eastAsia="宋体" w:cs="Times New Roman"/>
      <w:sz w:val="24"/>
      <w:szCs w:val="18"/>
    </w:rPr>
  </w:style>
  <w:style w:type="character" w:customStyle="1" w:styleId="72">
    <w:name w:val="页脚 Char"/>
    <w:qFormat/>
    <w:uiPriority w:val="99"/>
    <w:rPr>
      <w:rFonts w:eastAsia="Calibri"/>
      <w:sz w:val="21"/>
    </w:rPr>
  </w:style>
  <w:style w:type="character" w:customStyle="1" w:styleId="73">
    <w:name w:val="页脚 Char2"/>
    <w:qFormat/>
    <w:uiPriority w:val="99"/>
    <w:rPr>
      <w:rFonts w:ascii="Calibri" w:hAnsi="Calibri"/>
      <w:sz w:val="24"/>
      <w:szCs w:val="18"/>
    </w:rPr>
  </w:style>
  <w:style w:type="character" w:customStyle="1" w:styleId="74">
    <w:name w:val="页眉 字符"/>
    <w:link w:val="21"/>
    <w:qFormat/>
    <w:uiPriority w:val="99"/>
    <w:rPr>
      <w:rFonts w:ascii="Times New Roman" w:hAnsi="Times New Roman" w:eastAsia="宋体" w:cs="Times New Roman"/>
      <w:sz w:val="24"/>
      <w:szCs w:val="18"/>
    </w:rPr>
  </w:style>
  <w:style w:type="character" w:customStyle="1" w:styleId="75">
    <w:name w:val="页眉 Char"/>
    <w:qFormat/>
    <w:uiPriority w:val="99"/>
    <w:rPr>
      <w:sz w:val="18"/>
      <w:szCs w:val="18"/>
    </w:rPr>
  </w:style>
  <w:style w:type="character" w:customStyle="1" w:styleId="76">
    <w:name w:val="页眉 Char2"/>
    <w:qFormat/>
    <w:uiPriority w:val="99"/>
    <w:rPr>
      <w:rFonts w:ascii="Calibri" w:hAnsi="Calibri"/>
      <w:sz w:val="24"/>
      <w:szCs w:val="18"/>
    </w:rPr>
  </w:style>
  <w:style w:type="character" w:styleId="77">
    <w:name w:val="Placeholder Text"/>
    <w:semiHidden/>
    <w:qFormat/>
    <w:uiPriority w:val="99"/>
    <w:rPr>
      <w:color w:val="808080"/>
    </w:rPr>
  </w:style>
  <w:style w:type="paragraph" w:customStyle="1" w:styleId="78">
    <w:name w:val="正文1"/>
    <w:basedOn w:val="1"/>
    <w:qFormat/>
    <w:uiPriority w:val="0"/>
    <w:pPr>
      <w:jc w:val="left"/>
    </w:pPr>
  </w:style>
  <w:style w:type="character" w:customStyle="1" w:styleId="79">
    <w:name w:val="正文格式 Char Char"/>
    <w:qFormat/>
    <w:uiPriority w:val="0"/>
    <w:rPr>
      <w:rFonts w:ascii="Times New Roman" w:hAnsi="Times New Roman" w:cs="宋体"/>
      <w:kern w:val="2"/>
      <w:sz w:val="24"/>
    </w:rPr>
  </w:style>
  <w:style w:type="character" w:customStyle="1" w:styleId="80">
    <w:name w:val="正文缩进 字符"/>
    <w:link w:val="12"/>
    <w:qFormat/>
    <w:uiPriority w:val="0"/>
    <w:rPr>
      <w:rFonts w:ascii="Times New Roman" w:hAnsi="Times New Roman" w:eastAsia="宋体" w:cs="Times New Roman"/>
      <w:kern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numbering" Target="numbering.xml"/><Relationship Id="rId12" Type="http://schemas.openxmlformats.org/officeDocument/2006/relationships/theme" Target="theme/theme1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6AD19-7ED5-4131-BB98-0FE0E0AEB0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2156</Words>
  <Characters>2340</Characters>
  <Lines>8</Lines>
  <Paragraphs>2</Paragraphs>
  <TotalTime>34</TotalTime>
  <ScaleCrop>false</ScaleCrop>
  <LinksUpToDate>false</LinksUpToDate>
  <CharactersWithSpaces>2484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2022-08-02T05:23:00Z</dcterms:created>
  <dc:creator>黄 应梦</dc:creator>
  <cp:lastModifiedBy>仰望星空</cp:lastModifiedBy>
  <dcterms:modified xsi:type="dcterms:W3CDTF">2026-09-11T09:30:31Z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336C82EC24C04508BD0F2CAC0ECB2456_13</vt:lpwstr>
  </property>
  <property fmtid="{D5CDD505-2E9C-101B-9397-08002B2CF9AE}" pid="4" name="KSOTemplateDocerSaveRecord">
    <vt:lpwstr>eyJoZGlkIjoiOTEzNDU3ZTg5MDAxZWNiNGQzOWQ3MTg1NDYyYWU4YjIiLCJ1c2VySWQiOiIxMzgyNTg4NDAwIn0=</vt:lpwstr>
  </property>
</Properties>
</file>